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5ACC" w14:textId="77777777" w:rsidR="00CB2EC1" w:rsidRPr="007D7061" w:rsidRDefault="00B97E2C" w:rsidP="00CB2EC1">
      <w:pPr>
        <w:rPr>
          <w:noProof/>
          <w:color w:val="2B579A"/>
          <w:shd w:val="clear" w:color="auto" w:fill="E6E6E6"/>
        </w:rPr>
      </w:pPr>
      <w:bookmarkStart w:id="0" w:name="_Hlk171413206"/>
      <w:r>
        <w:rPr>
          <w:b/>
        </w:rPr>
        <w:tab/>
      </w:r>
      <w:r>
        <w:rPr>
          <w:b/>
        </w:rPr>
        <w:tab/>
      </w:r>
      <w:bookmarkStart w:id="1" w:name="_Hlk171430178"/>
      <w:r>
        <w:rPr>
          <w:b/>
        </w:rPr>
        <w:tab/>
      </w:r>
      <w:r w:rsidRPr="00262036">
        <w:rPr>
          <w:rFonts w:ascii="Times New Roman" w:hAnsi="Times New Roman" w:cs="Times New Roman"/>
          <w:b/>
        </w:rPr>
        <w:tab/>
      </w:r>
      <w:r w:rsidR="00CB2EC1" w:rsidRPr="007D7061">
        <w:rPr>
          <w:noProof/>
          <w:color w:val="2B579A"/>
          <w:shd w:val="clear" w:color="auto" w:fill="E6E6E6"/>
        </w:rPr>
        <w:drawing>
          <wp:anchor distT="0" distB="0" distL="114300" distR="114300" simplePos="0" relativeHeight="251659264" behindDoc="0" locked="0" layoutInCell="1" allowOverlap="1" wp14:anchorId="5285BAF1" wp14:editId="6F619513">
            <wp:simplePos x="0" y="0"/>
            <wp:positionH relativeFrom="margin">
              <wp:align>center</wp:align>
            </wp:positionH>
            <wp:positionV relativeFrom="paragraph">
              <wp:posOffset>221</wp:posOffset>
            </wp:positionV>
            <wp:extent cx="746760" cy="827405"/>
            <wp:effectExtent l="0" t="0" r="0" b="0"/>
            <wp:wrapTopAndBottom/>
            <wp:docPr id="1" name="Picture 1" descr="540px-Sila_o_Tonga_-_Coat_of_arms_of_the_Kingdom_of_T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0px-Sila_o_Tonga_-_Coat_of_arms_of_the_Kingdom_of_Tong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760" cy="827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889EBD" w14:textId="77777777" w:rsidR="00D41C4F" w:rsidRPr="007D7061" w:rsidRDefault="00D41C4F" w:rsidP="00D41C4F">
      <w:pPr>
        <w:spacing w:after="0" w:line="240" w:lineRule="auto"/>
        <w:jc w:val="center"/>
        <w:rPr>
          <w:rFonts w:ascii="Times New Roman" w:hAnsi="Times New Roman" w:cs="Times New Roman"/>
          <w:b/>
          <w:sz w:val="24"/>
          <w:szCs w:val="24"/>
        </w:rPr>
      </w:pPr>
      <w:r w:rsidRPr="007D7061">
        <w:rPr>
          <w:rFonts w:ascii="Times New Roman" w:hAnsi="Times New Roman" w:cs="Times New Roman"/>
          <w:b/>
          <w:sz w:val="24"/>
          <w:szCs w:val="24"/>
        </w:rPr>
        <w:t>The Government of the Kingdom of Tonga (</w:t>
      </w:r>
      <w:proofErr w:type="spellStart"/>
      <w:r w:rsidRPr="007D7061">
        <w:rPr>
          <w:rFonts w:ascii="Times New Roman" w:hAnsi="Times New Roman" w:cs="Times New Roman"/>
          <w:b/>
          <w:sz w:val="24"/>
          <w:szCs w:val="24"/>
        </w:rPr>
        <w:t>GoT</w:t>
      </w:r>
      <w:proofErr w:type="spellEnd"/>
      <w:r w:rsidRPr="007D7061">
        <w:rPr>
          <w:rFonts w:ascii="Times New Roman" w:hAnsi="Times New Roman" w:cs="Times New Roman"/>
          <w:b/>
          <w:sz w:val="24"/>
          <w:szCs w:val="24"/>
        </w:rPr>
        <w:t>)</w:t>
      </w:r>
    </w:p>
    <w:p w14:paraId="3FF0F7BC" w14:textId="3C45CEE8" w:rsidR="001036E6" w:rsidRPr="007D7061" w:rsidRDefault="001036E6" w:rsidP="001036E6">
      <w:pPr>
        <w:spacing w:after="0" w:line="240" w:lineRule="auto"/>
        <w:jc w:val="center"/>
        <w:rPr>
          <w:rFonts w:ascii="Times New Roman" w:hAnsi="Times New Roman" w:cs="Times New Roman"/>
          <w:b/>
          <w:color w:val="000000" w:themeColor="text1"/>
          <w:sz w:val="24"/>
          <w:szCs w:val="24"/>
        </w:rPr>
      </w:pPr>
      <w:r w:rsidRPr="007D7061">
        <w:rPr>
          <w:rFonts w:ascii="Times New Roman" w:hAnsi="Times New Roman" w:cs="Times New Roman"/>
          <w:b/>
          <w:sz w:val="24"/>
          <w:szCs w:val="24"/>
        </w:rPr>
        <w:t xml:space="preserve">Ministry of </w:t>
      </w:r>
      <w:r w:rsidR="009800D7" w:rsidRPr="007D7061">
        <w:rPr>
          <w:rFonts w:ascii="Times New Roman" w:hAnsi="Times New Roman" w:cs="Times New Roman"/>
          <w:b/>
          <w:color w:val="000000" w:themeColor="text1"/>
          <w:sz w:val="24"/>
          <w:szCs w:val="24"/>
        </w:rPr>
        <w:t xml:space="preserve">Finance </w:t>
      </w:r>
    </w:p>
    <w:p w14:paraId="1A5CBAC5" w14:textId="0F98DAF9" w:rsidR="001036E6" w:rsidRPr="007D7061" w:rsidRDefault="009800D7" w:rsidP="001036E6">
      <w:pPr>
        <w:spacing w:after="0" w:line="240" w:lineRule="auto"/>
        <w:jc w:val="center"/>
        <w:rPr>
          <w:rFonts w:ascii="Times New Roman" w:hAnsi="Times New Roman" w:cs="Times New Roman"/>
          <w:b/>
          <w:i/>
          <w:iCs/>
          <w:color w:val="000000" w:themeColor="text1"/>
          <w:sz w:val="24"/>
          <w:szCs w:val="24"/>
        </w:rPr>
      </w:pPr>
      <w:r w:rsidRPr="007D7061">
        <w:rPr>
          <w:rFonts w:ascii="Times New Roman" w:hAnsi="Times New Roman" w:cs="Times New Roman"/>
          <w:b/>
          <w:i/>
          <w:iCs/>
          <w:color w:val="000000" w:themeColor="text1"/>
          <w:sz w:val="24"/>
          <w:szCs w:val="24"/>
        </w:rPr>
        <w:t xml:space="preserve">Advancing Trade Facilitation in the Pacific </w:t>
      </w:r>
    </w:p>
    <w:p w14:paraId="67C9DE18" w14:textId="77777777" w:rsidR="00BF201D" w:rsidRPr="007D7061" w:rsidRDefault="00BF201D" w:rsidP="00BF201D">
      <w:pPr>
        <w:spacing w:after="0" w:line="240" w:lineRule="auto"/>
        <w:jc w:val="center"/>
        <w:rPr>
          <w:rFonts w:ascii="Times New Roman" w:eastAsia="Calibri" w:hAnsi="Times New Roman" w:cs="Times New Roman"/>
          <w:b/>
          <w:sz w:val="24"/>
          <w:szCs w:val="24"/>
          <w:lang w:val="en-AU"/>
        </w:rPr>
      </w:pPr>
      <w:r w:rsidRPr="007D7061">
        <w:rPr>
          <w:rFonts w:ascii="Times New Roman" w:eastAsia="Calibri" w:hAnsi="Times New Roman" w:cs="Times New Roman"/>
          <w:b/>
          <w:sz w:val="24"/>
          <w:szCs w:val="24"/>
          <w:lang w:val="en-AU"/>
        </w:rPr>
        <w:t>TERMS OF REFERENCE</w:t>
      </w:r>
    </w:p>
    <w:p w14:paraId="24D9759C" w14:textId="6BF9C365" w:rsidR="00BF201D" w:rsidRPr="007D7061" w:rsidRDefault="00BF201D" w:rsidP="00BF201D">
      <w:pPr>
        <w:spacing w:after="0" w:line="240" w:lineRule="auto"/>
        <w:jc w:val="center"/>
        <w:rPr>
          <w:rFonts w:ascii="Times New Roman" w:eastAsia="Calibri" w:hAnsi="Times New Roman" w:cs="Times New Roman"/>
          <w:b/>
          <w:sz w:val="24"/>
          <w:szCs w:val="24"/>
          <w:lang w:val="en-AU"/>
        </w:rPr>
      </w:pPr>
      <w:r w:rsidRPr="007D7061">
        <w:rPr>
          <w:rFonts w:ascii="Times New Roman" w:eastAsia="Calibri" w:hAnsi="Times New Roman" w:cs="Times New Roman"/>
          <w:b/>
          <w:sz w:val="24"/>
          <w:szCs w:val="24"/>
          <w:lang w:val="en-AU"/>
        </w:rPr>
        <w:t xml:space="preserve"> </w:t>
      </w:r>
    </w:p>
    <w:p w14:paraId="304BEB4D" w14:textId="542C9B6C" w:rsidR="00517C92" w:rsidRPr="007D7061" w:rsidRDefault="00B97E2C" w:rsidP="00CB2EC1">
      <w:pPr>
        <w:pStyle w:val="NoSpacing"/>
        <w:rPr>
          <w:sz w:val="22"/>
          <w:szCs w:val="22"/>
        </w:rPr>
      </w:pPr>
      <w:r w:rsidRPr="007D7061">
        <w:rPr>
          <w:b/>
          <w:sz w:val="22"/>
          <w:szCs w:val="22"/>
        </w:rPr>
        <w:t>Assignment:</w:t>
      </w:r>
      <w:r w:rsidRPr="007D7061">
        <w:rPr>
          <w:sz w:val="22"/>
          <w:szCs w:val="22"/>
        </w:rPr>
        <w:t xml:space="preserve"> </w:t>
      </w:r>
      <w:r w:rsidR="00CB2EC1" w:rsidRPr="007D7061">
        <w:rPr>
          <w:sz w:val="22"/>
          <w:szCs w:val="22"/>
        </w:rPr>
        <w:tab/>
      </w:r>
      <w:r w:rsidR="00CB2EC1" w:rsidRPr="007D7061">
        <w:rPr>
          <w:sz w:val="22"/>
          <w:szCs w:val="22"/>
        </w:rPr>
        <w:tab/>
      </w:r>
      <w:r w:rsidR="00CB2EC1" w:rsidRPr="007D7061">
        <w:rPr>
          <w:sz w:val="22"/>
          <w:szCs w:val="22"/>
        </w:rPr>
        <w:tab/>
      </w:r>
      <w:r w:rsidR="003524DB" w:rsidRPr="007D7061">
        <w:rPr>
          <w:rFonts w:eastAsiaTheme="minorHAnsi"/>
          <w:bCs/>
          <w:sz w:val="22"/>
          <w:szCs w:val="22"/>
          <w:lang w:val="en-NZ"/>
        </w:rPr>
        <w:t xml:space="preserve">Environmental and Social </w:t>
      </w:r>
      <w:r w:rsidR="00750C69" w:rsidRPr="007D7061">
        <w:rPr>
          <w:rFonts w:eastAsiaTheme="minorHAnsi"/>
          <w:bCs/>
          <w:sz w:val="22"/>
          <w:szCs w:val="22"/>
          <w:lang w:val="en-NZ"/>
        </w:rPr>
        <w:t xml:space="preserve">Safeguard </w:t>
      </w:r>
      <w:r w:rsidR="003524DB" w:rsidRPr="007D7061">
        <w:rPr>
          <w:rFonts w:eastAsiaTheme="minorHAnsi"/>
          <w:bCs/>
          <w:sz w:val="22"/>
          <w:szCs w:val="22"/>
          <w:lang w:val="en-NZ"/>
        </w:rPr>
        <w:t>Officer</w:t>
      </w:r>
    </w:p>
    <w:p w14:paraId="12DBA19E" w14:textId="0FD69D86" w:rsidR="001036E6" w:rsidRPr="007D7061" w:rsidRDefault="001036E6" w:rsidP="001036E6">
      <w:pPr>
        <w:pStyle w:val="NoSpacing"/>
        <w:rPr>
          <w:sz w:val="22"/>
          <w:szCs w:val="22"/>
        </w:rPr>
      </w:pPr>
      <w:bookmarkStart w:id="2" w:name="_Hlk171282247"/>
      <w:r w:rsidRPr="007D7061">
        <w:rPr>
          <w:b/>
          <w:sz w:val="22"/>
          <w:szCs w:val="22"/>
        </w:rPr>
        <w:t>Reference</w:t>
      </w:r>
      <w:r w:rsidRPr="007D7061">
        <w:rPr>
          <w:sz w:val="22"/>
          <w:szCs w:val="22"/>
        </w:rPr>
        <w:t>:</w:t>
      </w:r>
      <w:r w:rsidRPr="007D7061">
        <w:rPr>
          <w:sz w:val="22"/>
          <w:szCs w:val="22"/>
        </w:rPr>
        <w:tab/>
      </w:r>
      <w:r w:rsidRPr="007D7061">
        <w:rPr>
          <w:sz w:val="22"/>
          <w:szCs w:val="22"/>
        </w:rPr>
        <w:tab/>
      </w:r>
      <w:r w:rsidRPr="007D7061">
        <w:rPr>
          <w:sz w:val="22"/>
          <w:szCs w:val="22"/>
        </w:rPr>
        <w:tab/>
      </w:r>
      <w:r w:rsidR="001C31EB" w:rsidRPr="007D7061">
        <w:rPr>
          <w:sz w:val="22"/>
          <w:szCs w:val="22"/>
        </w:rPr>
        <w:t xml:space="preserve">TO-MRC-520347-CS-INDV </w:t>
      </w:r>
    </w:p>
    <w:p w14:paraId="0ED3F70E" w14:textId="33319C24" w:rsidR="001036E6" w:rsidRPr="007D7061" w:rsidRDefault="001036E6" w:rsidP="001036E6">
      <w:pPr>
        <w:pStyle w:val="NoSpacing"/>
        <w:rPr>
          <w:color w:val="000000" w:themeColor="text1"/>
          <w:sz w:val="22"/>
          <w:szCs w:val="22"/>
          <w:lang w:val="en-NZ"/>
        </w:rPr>
      </w:pPr>
      <w:r w:rsidRPr="007D7061">
        <w:rPr>
          <w:b/>
          <w:bCs/>
          <w:sz w:val="22"/>
          <w:szCs w:val="22"/>
          <w:lang w:val="en-NZ"/>
        </w:rPr>
        <w:t xml:space="preserve">Client: </w:t>
      </w:r>
      <w:r w:rsidRPr="007D7061">
        <w:rPr>
          <w:b/>
          <w:bCs/>
          <w:sz w:val="22"/>
          <w:szCs w:val="22"/>
          <w:lang w:val="en-NZ"/>
        </w:rPr>
        <w:tab/>
      </w:r>
      <w:r w:rsidRPr="007D7061">
        <w:rPr>
          <w:b/>
          <w:bCs/>
          <w:sz w:val="22"/>
          <w:szCs w:val="22"/>
          <w:lang w:val="en-NZ"/>
        </w:rPr>
        <w:tab/>
      </w:r>
      <w:r w:rsidRPr="007D7061">
        <w:rPr>
          <w:b/>
          <w:bCs/>
          <w:sz w:val="22"/>
          <w:szCs w:val="22"/>
          <w:lang w:val="en-NZ"/>
        </w:rPr>
        <w:tab/>
      </w:r>
      <w:r w:rsidRPr="007D7061">
        <w:rPr>
          <w:b/>
          <w:bCs/>
          <w:sz w:val="22"/>
          <w:szCs w:val="22"/>
          <w:lang w:val="en-NZ"/>
        </w:rPr>
        <w:tab/>
      </w:r>
      <w:r w:rsidR="00F473CF" w:rsidRPr="007D7061">
        <w:rPr>
          <w:color w:val="000000" w:themeColor="text1"/>
          <w:sz w:val="22"/>
          <w:szCs w:val="22"/>
          <w:lang w:val="en-NZ"/>
        </w:rPr>
        <w:t xml:space="preserve">Ministry of Revenue and Customs </w:t>
      </w:r>
      <w:r w:rsidR="00FF73FA" w:rsidRPr="007D7061">
        <w:rPr>
          <w:color w:val="000000" w:themeColor="text1"/>
          <w:sz w:val="22"/>
          <w:szCs w:val="22"/>
          <w:lang w:val="en-NZ"/>
        </w:rPr>
        <w:t xml:space="preserve">&amp; Ministry of </w:t>
      </w:r>
      <w:r w:rsidR="00572A4F" w:rsidRPr="007D7061">
        <w:rPr>
          <w:color w:val="000000" w:themeColor="text1"/>
          <w:sz w:val="22"/>
          <w:szCs w:val="22"/>
          <w:lang w:val="en-NZ"/>
        </w:rPr>
        <w:t>Infrastructure</w:t>
      </w:r>
    </w:p>
    <w:p w14:paraId="74B98097" w14:textId="49EC17E6" w:rsidR="001036E6" w:rsidRPr="007D7061" w:rsidRDefault="001036E6" w:rsidP="001036E6">
      <w:pPr>
        <w:pStyle w:val="NoSpacing"/>
        <w:ind w:left="2880" w:hanging="2880"/>
        <w:rPr>
          <w:sz w:val="22"/>
          <w:szCs w:val="22"/>
          <w:lang w:val="en-NZ"/>
        </w:rPr>
      </w:pPr>
      <w:r w:rsidRPr="007D7061">
        <w:rPr>
          <w:b/>
          <w:sz w:val="22"/>
          <w:szCs w:val="22"/>
          <w:lang w:val="en-NZ"/>
        </w:rPr>
        <w:t>Duration</w:t>
      </w:r>
      <w:r w:rsidRPr="007D7061">
        <w:rPr>
          <w:sz w:val="22"/>
          <w:szCs w:val="22"/>
          <w:lang w:val="en-NZ"/>
        </w:rPr>
        <w:t xml:space="preserve">:  </w:t>
      </w:r>
      <w:bookmarkStart w:id="3" w:name="_Hlk156998156"/>
      <w:r w:rsidRPr="007D7061">
        <w:rPr>
          <w:sz w:val="22"/>
          <w:szCs w:val="22"/>
          <w:lang w:val="en-NZ"/>
        </w:rPr>
        <w:tab/>
        <w:t xml:space="preserve">Initial contract is for </w:t>
      </w:r>
      <w:r w:rsidR="007C783C" w:rsidRPr="007D7061">
        <w:rPr>
          <w:sz w:val="22"/>
          <w:szCs w:val="22"/>
          <w:lang w:val="en-NZ"/>
        </w:rPr>
        <w:t>2</w:t>
      </w:r>
      <w:r w:rsidRPr="007D7061">
        <w:rPr>
          <w:sz w:val="22"/>
          <w:szCs w:val="22"/>
          <w:lang w:val="en-NZ"/>
        </w:rPr>
        <w:t xml:space="preserve"> </w:t>
      </w:r>
      <w:proofErr w:type="gramStart"/>
      <w:r w:rsidRPr="007D7061">
        <w:rPr>
          <w:sz w:val="22"/>
          <w:szCs w:val="22"/>
          <w:lang w:val="en-NZ"/>
        </w:rPr>
        <w:t>year</w:t>
      </w:r>
      <w:proofErr w:type="gramEnd"/>
      <w:r w:rsidRPr="007D7061">
        <w:rPr>
          <w:sz w:val="22"/>
          <w:szCs w:val="22"/>
          <w:lang w:val="en-NZ"/>
        </w:rPr>
        <w:t>, extendable annually upon mutual understanding and performance up to duration of project (5 years).</w:t>
      </w:r>
      <w:bookmarkEnd w:id="3"/>
      <w:r w:rsidRPr="007D7061">
        <w:rPr>
          <w:sz w:val="22"/>
          <w:szCs w:val="22"/>
          <w:lang w:val="en-NZ"/>
        </w:rPr>
        <w:t xml:space="preserve"> </w:t>
      </w:r>
    </w:p>
    <w:p w14:paraId="0B871D04" w14:textId="77777777" w:rsidR="001036E6" w:rsidRPr="007D7061" w:rsidRDefault="001036E6" w:rsidP="001036E6">
      <w:pPr>
        <w:pStyle w:val="NoSpacing"/>
        <w:ind w:left="2880" w:hanging="2880"/>
        <w:rPr>
          <w:bCs/>
          <w:sz w:val="22"/>
          <w:szCs w:val="22"/>
          <w:lang w:val="en-AU"/>
        </w:rPr>
      </w:pPr>
      <w:r w:rsidRPr="007D7061">
        <w:rPr>
          <w:b/>
          <w:bCs/>
          <w:sz w:val="22"/>
          <w:szCs w:val="22"/>
        </w:rPr>
        <w:t>Probation Period</w:t>
      </w:r>
      <w:proofErr w:type="gramStart"/>
      <w:r w:rsidRPr="007D7061">
        <w:rPr>
          <w:b/>
          <w:bCs/>
          <w:sz w:val="22"/>
          <w:szCs w:val="22"/>
        </w:rPr>
        <w:t>:</w:t>
      </w:r>
      <w:r w:rsidRPr="007D7061">
        <w:rPr>
          <w:sz w:val="22"/>
          <w:szCs w:val="22"/>
        </w:rPr>
        <w:t xml:space="preserve"> </w:t>
      </w:r>
      <w:r w:rsidRPr="007D7061">
        <w:rPr>
          <w:sz w:val="22"/>
          <w:szCs w:val="22"/>
        </w:rPr>
        <w:tab/>
        <w:t>S</w:t>
      </w:r>
      <w:r w:rsidRPr="007D7061">
        <w:rPr>
          <w:bCs/>
          <w:sz w:val="22"/>
          <w:szCs w:val="22"/>
          <w:lang w:val="en-AU"/>
        </w:rPr>
        <w:t>ix</w:t>
      </w:r>
      <w:proofErr w:type="gramEnd"/>
      <w:r w:rsidRPr="007D7061">
        <w:rPr>
          <w:bCs/>
          <w:sz w:val="22"/>
          <w:szCs w:val="22"/>
          <w:lang w:val="en-AU"/>
        </w:rPr>
        <w:t xml:space="preserve"> (6) months’ probation period may extend depending on candidate’s satisfactory performance. Annual performance review to determine, if contract would be extended.</w:t>
      </w:r>
    </w:p>
    <w:p w14:paraId="5970D52E" w14:textId="44CD1422" w:rsidR="001036E6" w:rsidRPr="007D7061" w:rsidRDefault="001036E6" w:rsidP="001036E6">
      <w:pPr>
        <w:pStyle w:val="NoSpacing"/>
        <w:rPr>
          <w:sz w:val="22"/>
          <w:szCs w:val="22"/>
          <w:lang w:val="en-NZ"/>
        </w:rPr>
      </w:pPr>
      <w:bookmarkStart w:id="4" w:name="_Hlk157266510"/>
      <w:r w:rsidRPr="007D7061">
        <w:rPr>
          <w:b/>
          <w:sz w:val="22"/>
          <w:szCs w:val="22"/>
          <w:lang w:val="en-NZ"/>
        </w:rPr>
        <w:t xml:space="preserve">Location: </w:t>
      </w:r>
      <w:r w:rsidRPr="007D7061">
        <w:rPr>
          <w:b/>
          <w:sz w:val="22"/>
          <w:szCs w:val="22"/>
          <w:lang w:val="en-NZ"/>
        </w:rPr>
        <w:tab/>
      </w:r>
      <w:r w:rsidRPr="007D7061">
        <w:rPr>
          <w:b/>
          <w:sz w:val="22"/>
          <w:szCs w:val="22"/>
          <w:lang w:val="en-NZ"/>
        </w:rPr>
        <w:tab/>
      </w:r>
      <w:r w:rsidRPr="007D7061">
        <w:rPr>
          <w:b/>
          <w:sz w:val="22"/>
          <w:szCs w:val="22"/>
          <w:lang w:val="en-NZ"/>
        </w:rPr>
        <w:tab/>
      </w:r>
      <w:bookmarkStart w:id="5" w:name="_Hlk157266603"/>
      <w:r w:rsidR="00232153" w:rsidRPr="007D7061">
        <w:rPr>
          <w:color w:val="000000" w:themeColor="text1"/>
          <w:sz w:val="22"/>
          <w:szCs w:val="22"/>
          <w:lang w:val="en-NZ"/>
        </w:rPr>
        <w:t>Ministry of Revenue and Customs</w:t>
      </w:r>
      <w:r w:rsidRPr="007D7061">
        <w:rPr>
          <w:sz w:val="22"/>
          <w:szCs w:val="22"/>
          <w:lang w:val="en-NZ"/>
        </w:rPr>
        <w:t>, Nuku’alofa, Kingdom of Tonga</w:t>
      </w:r>
      <w:r w:rsidRPr="007D7061">
        <w:rPr>
          <w:b/>
          <w:sz w:val="22"/>
          <w:szCs w:val="22"/>
          <w:lang w:val="en-NZ"/>
        </w:rPr>
        <w:t xml:space="preserve"> </w:t>
      </w:r>
      <w:bookmarkEnd w:id="5"/>
    </w:p>
    <w:p w14:paraId="58AF1E6D" w14:textId="79A7D3F4" w:rsidR="001036E6" w:rsidRPr="007D7061" w:rsidRDefault="001036E6" w:rsidP="001036E6">
      <w:pPr>
        <w:pStyle w:val="NoSpacing"/>
        <w:rPr>
          <w:sz w:val="22"/>
          <w:szCs w:val="22"/>
          <w:lang w:val="en-NZ"/>
        </w:rPr>
      </w:pPr>
      <w:r w:rsidRPr="007D7061">
        <w:rPr>
          <w:b/>
          <w:sz w:val="22"/>
          <w:szCs w:val="22"/>
          <w:lang w:val="en-NZ"/>
        </w:rPr>
        <w:t>Expected date of Start:</w:t>
      </w:r>
      <w:r w:rsidRPr="007D7061">
        <w:rPr>
          <w:b/>
          <w:sz w:val="22"/>
          <w:szCs w:val="22"/>
          <w:lang w:val="en-NZ"/>
        </w:rPr>
        <w:tab/>
      </w:r>
      <w:bookmarkEnd w:id="2"/>
      <w:bookmarkEnd w:id="4"/>
      <w:r w:rsidR="001C31EB" w:rsidRPr="007D7061">
        <w:rPr>
          <w:bCs/>
          <w:sz w:val="22"/>
          <w:szCs w:val="22"/>
          <w:lang w:val="en-NZ"/>
        </w:rPr>
        <w:t>January 2026</w:t>
      </w:r>
    </w:p>
    <w:p w14:paraId="512F17D5" w14:textId="77777777" w:rsidR="001036E6" w:rsidRPr="007D7061" w:rsidRDefault="001036E6" w:rsidP="001036E6">
      <w:pPr>
        <w:rPr>
          <w:rFonts w:ascii="Times New Roman" w:hAnsi="Times New Roman" w:cs="Times New Roman"/>
          <w:sz w:val="10"/>
          <w:szCs w:val="10"/>
        </w:rPr>
      </w:pPr>
    </w:p>
    <w:p w14:paraId="16B23739" w14:textId="77777777" w:rsidR="001036E6" w:rsidRPr="007D7061" w:rsidRDefault="001036E6" w:rsidP="001036E6">
      <w:pPr>
        <w:pStyle w:val="ListParagraph"/>
        <w:numPr>
          <w:ilvl w:val="0"/>
          <w:numId w:val="1"/>
        </w:numPr>
        <w:rPr>
          <w:rFonts w:ascii="Times New Roman" w:hAnsi="Times New Roman" w:cs="Times New Roman"/>
          <w:b/>
          <w:i/>
          <w:u w:val="single"/>
        </w:rPr>
      </w:pPr>
      <w:r w:rsidRPr="007D7061">
        <w:rPr>
          <w:rFonts w:ascii="Times New Roman" w:hAnsi="Times New Roman" w:cs="Times New Roman"/>
          <w:b/>
          <w:i/>
          <w:u w:val="single"/>
        </w:rPr>
        <w:t>Background</w:t>
      </w:r>
    </w:p>
    <w:p w14:paraId="4DFD4E50" w14:textId="77777777" w:rsidR="001036E6" w:rsidRPr="007D7061" w:rsidRDefault="001036E6" w:rsidP="001036E6">
      <w:pPr>
        <w:pStyle w:val="Default"/>
        <w:spacing w:line="23" w:lineRule="atLeast"/>
        <w:jc w:val="both"/>
        <w:rPr>
          <w:rFonts w:ascii="Times New Roman" w:eastAsia="Arial Narrow" w:hAnsi="Times New Roman" w:cs="Times New Roman"/>
          <w:sz w:val="22"/>
          <w:szCs w:val="22"/>
        </w:rPr>
      </w:pPr>
      <w:r w:rsidRPr="007D7061">
        <w:rPr>
          <w:rFonts w:ascii="Times New Roman" w:eastAsia="Arial Narrow" w:hAnsi="Times New Roman" w:cs="Times New Roman"/>
          <w:sz w:val="22"/>
          <w:szCs w:val="22"/>
        </w:rPr>
        <w:t>Tonga is a small, archipelagic Kingdom located in the South Pacific. Tonga’s population is 106,000</w:t>
      </w:r>
      <w:r w:rsidRPr="007D7061">
        <w:rPr>
          <w:rStyle w:val="FootnoteReference"/>
          <w:rFonts w:ascii="Times New Roman" w:eastAsia="Arial Narrow" w:hAnsi="Times New Roman" w:cs="Times New Roman"/>
          <w:sz w:val="22"/>
          <w:szCs w:val="22"/>
        </w:rPr>
        <w:footnoteReference w:id="1"/>
      </w:r>
      <w:r w:rsidRPr="007D7061">
        <w:rPr>
          <w:rFonts w:ascii="Times New Roman" w:eastAsia="Arial Narrow" w:hAnsi="Times New Roman" w:cs="Times New Roman"/>
          <w:sz w:val="22"/>
          <w:szCs w:val="22"/>
        </w:rPr>
        <w:t xml:space="preserve">. The main island is </w:t>
      </w:r>
      <w:proofErr w:type="spellStart"/>
      <w:r w:rsidRPr="007D7061">
        <w:rPr>
          <w:rFonts w:ascii="Times New Roman" w:eastAsia="Arial Narrow" w:hAnsi="Times New Roman" w:cs="Times New Roman"/>
          <w:sz w:val="22"/>
          <w:szCs w:val="22"/>
        </w:rPr>
        <w:t>Tongatapu</w:t>
      </w:r>
      <w:proofErr w:type="spellEnd"/>
      <w:r w:rsidRPr="007D7061">
        <w:rPr>
          <w:rFonts w:ascii="Times New Roman" w:eastAsia="Arial Narrow" w:hAnsi="Times New Roman" w:cs="Times New Roman"/>
          <w:sz w:val="22"/>
          <w:szCs w:val="22"/>
        </w:rPr>
        <w:t xml:space="preserve">, and other major islands are ‘Eua, </w:t>
      </w:r>
      <w:proofErr w:type="spellStart"/>
      <w:r w:rsidRPr="007D7061">
        <w:rPr>
          <w:rFonts w:ascii="Times New Roman" w:eastAsia="Arial Narrow" w:hAnsi="Times New Roman" w:cs="Times New Roman"/>
          <w:sz w:val="22"/>
          <w:szCs w:val="22"/>
        </w:rPr>
        <w:t>Ha’apai</w:t>
      </w:r>
      <w:proofErr w:type="spellEnd"/>
      <w:r w:rsidRPr="007D7061">
        <w:rPr>
          <w:rFonts w:ascii="Times New Roman" w:eastAsia="Arial Narrow" w:hAnsi="Times New Roman" w:cs="Times New Roman"/>
          <w:sz w:val="22"/>
          <w:szCs w:val="22"/>
        </w:rPr>
        <w:t xml:space="preserve">, </w:t>
      </w:r>
      <w:proofErr w:type="spellStart"/>
      <w:r w:rsidRPr="007D7061">
        <w:rPr>
          <w:rFonts w:ascii="Times New Roman" w:eastAsia="Arial Narrow" w:hAnsi="Times New Roman" w:cs="Times New Roman"/>
          <w:sz w:val="22"/>
          <w:szCs w:val="22"/>
        </w:rPr>
        <w:t>Vava’u</w:t>
      </w:r>
      <w:proofErr w:type="spellEnd"/>
      <w:r w:rsidRPr="007D7061">
        <w:rPr>
          <w:rFonts w:ascii="Times New Roman" w:eastAsia="Arial Narrow" w:hAnsi="Times New Roman" w:cs="Times New Roman"/>
          <w:sz w:val="22"/>
          <w:szCs w:val="22"/>
        </w:rPr>
        <w:t xml:space="preserve"> and </w:t>
      </w:r>
      <w:proofErr w:type="spellStart"/>
      <w:r w:rsidRPr="007D7061">
        <w:rPr>
          <w:rFonts w:ascii="Times New Roman" w:eastAsia="Arial Narrow" w:hAnsi="Times New Roman" w:cs="Times New Roman"/>
          <w:sz w:val="22"/>
          <w:szCs w:val="22"/>
        </w:rPr>
        <w:t>Niuatoputapu</w:t>
      </w:r>
      <w:proofErr w:type="spellEnd"/>
      <w:r w:rsidRPr="007D7061">
        <w:rPr>
          <w:rFonts w:ascii="Times New Roman" w:eastAsia="Arial Narrow" w:hAnsi="Times New Roman" w:cs="Times New Roman"/>
          <w:sz w:val="22"/>
          <w:szCs w:val="22"/>
        </w:rPr>
        <w:t>. Tonga has an International Airport at Nuku’alofa with flight connections from Fiji, Australia and New Zealand. Tongan and English are the official languages.</w:t>
      </w:r>
    </w:p>
    <w:p w14:paraId="09B22D48" w14:textId="77777777" w:rsidR="001036E6" w:rsidRPr="007D7061" w:rsidRDefault="001036E6" w:rsidP="001036E6">
      <w:pPr>
        <w:pStyle w:val="Default"/>
        <w:spacing w:line="23" w:lineRule="atLeast"/>
        <w:jc w:val="both"/>
        <w:rPr>
          <w:rFonts w:ascii="Times New Roman" w:eastAsia="Arial Narrow" w:hAnsi="Times New Roman" w:cs="Times New Roman"/>
          <w:sz w:val="22"/>
          <w:szCs w:val="22"/>
        </w:rPr>
      </w:pPr>
    </w:p>
    <w:p w14:paraId="137FCAF2" w14:textId="3B23085A" w:rsidR="001036E6" w:rsidRPr="007D7061" w:rsidRDefault="00F32B43" w:rsidP="001036E6">
      <w:pPr>
        <w:pStyle w:val="Default"/>
        <w:spacing w:line="23" w:lineRule="atLeast"/>
        <w:jc w:val="both"/>
        <w:rPr>
          <w:rFonts w:ascii="Times New Roman" w:hAnsi="Times New Roman" w:cs="Times New Roman"/>
          <w:color w:val="auto"/>
          <w:sz w:val="22"/>
          <w:szCs w:val="22"/>
          <w:lang w:val="en-US" w:bidi="ar-SA"/>
        </w:rPr>
      </w:pPr>
      <w:r w:rsidRPr="007D7061">
        <w:rPr>
          <w:rFonts w:ascii="Times New Roman" w:eastAsia="Arial Narrow" w:hAnsi="Times New Roman" w:cs="Times New Roman"/>
          <w:sz w:val="22"/>
          <w:szCs w:val="22"/>
          <w:lang w:val="en-US"/>
        </w:rPr>
        <w:t>The Government of the Kingdom of Tonga (</w:t>
      </w:r>
      <w:proofErr w:type="spellStart"/>
      <w:r w:rsidRPr="007D7061">
        <w:rPr>
          <w:rFonts w:ascii="Times New Roman" w:eastAsia="Arial Narrow" w:hAnsi="Times New Roman" w:cs="Times New Roman"/>
          <w:sz w:val="22"/>
          <w:szCs w:val="22"/>
          <w:lang w:val="en-US"/>
        </w:rPr>
        <w:t>GoT</w:t>
      </w:r>
      <w:proofErr w:type="spellEnd"/>
      <w:r w:rsidRPr="007D7061">
        <w:rPr>
          <w:rFonts w:ascii="Times New Roman" w:eastAsia="Arial Narrow" w:hAnsi="Times New Roman" w:cs="Times New Roman"/>
          <w:sz w:val="22"/>
          <w:szCs w:val="22"/>
          <w:lang w:val="en-US"/>
        </w:rPr>
        <w:t xml:space="preserve">), through the Ministry of Revenue and Customs and Ministry of Infrastructure successfully negotiated with the World Bank for funding under the </w:t>
      </w:r>
      <w:r w:rsidRPr="007D7061">
        <w:rPr>
          <w:rFonts w:ascii="Times New Roman" w:eastAsia="Arial Narrow" w:hAnsi="Times New Roman" w:cs="Times New Roman"/>
          <w:i/>
          <w:iCs/>
          <w:sz w:val="22"/>
          <w:szCs w:val="22"/>
          <w:lang w:val="en-US"/>
        </w:rPr>
        <w:t>20</w:t>
      </w:r>
      <w:r w:rsidRPr="007D7061">
        <w:rPr>
          <w:rFonts w:ascii="Times New Roman" w:eastAsia="Arial Narrow" w:hAnsi="Times New Roman" w:cs="Times New Roman"/>
          <w:i/>
          <w:iCs/>
          <w:sz w:val="22"/>
          <w:szCs w:val="22"/>
          <w:vertAlign w:val="superscript"/>
          <w:lang w:val="en-US"/>
        </w:rPr>
        <w:t>th</w:t>
      </w:r>
      <w:r w:rsidRPr="007D7061">
        <w:rPr>
          <w:rFonts w:ascii="Times New Roman" w:eastAsia="Arial Narrow" w:hAnsi="Times New Roman" w:cs="Times New Roman"/>
          <w:sz w:val="22"/>
          <w:szCs w:val="22"/>
          <w:lang w:val="en-US"/>
        </w:rPr>
        <w:t xml:space="preserve"> round of International Development Association (IDA) for a project aimed at developing the Tonga Trade Facilitation and Maritime Transport sector</w:t>
      </w:r>
      <w:r w:rsidR="003F753D" w:rsidRPr="007D7061">
        <w:rPr>
          <w:rFonts w:ascii="Times New Roman" w:eastAsia="Arial Narrow" w:hAnsi="Times New Roman" w:cs="Times New Roman"/>
          <w:sz w:val="22"/>
          <w:szCs w:val="22"/>
          <w:lang w:val="en-US"/>
        </w:rPr>
        <w:t xml:space="preserve"> through the Accelerating Trade Facilitation and Logistics in the Pacific Project (ATFP), the Project</w:t>
      </w:r>
      <w:r w:rsidRPr="007D7061">
        <w:rPr>
          <w:rFonts w:ascii="Times New Roman" w:eastAsia="Arial Narrow" w:hAnsi="Times New Roman" w:cs="Times New Roman"/>
          <w:sz w:val="22"/>
          <w:szCs w:val="22"/>
          <w:lang w:val="en-US"/>
        </w:rPr>
        <w:t>.</w:t>
      </w:r>
      <w:r w:rsidRPr="007D7061">
        <w:rPr>
          <w:rFonts w:ascii="Times New Roman" w:eastAsia="Arial Narrow" w:hAnsi="Times New Roman" w:cs="Times New Roman"/>
          <w:i/>
          <w:iCs/>
          <w:sz w:val="22"/>
          <w:szCs w:val="22"/>
          <w:lang w:val="en-US"/>
        </w:rPr>
        <w:t xml:space="preserve"> </w:t>
      </w:r>
      <w:r w:rsidRPr="007D7061">
        <w:rPr>
          <w:rFonts w:ascii="Times New Roman" w:eastAsia="Arial Narrow" w:hAnsi="Times New Roman" w:cs="Times New Roman"/>
          <w:sz w:val="22"/>
          <w:szCs w:val="22"/>
          <w:lang w:val="en-US"/>
        </w:rPr>
        <w:t>The total financing is around US$ 9.5 M equivalent. Broad objectives have been established:</w:t>
      </w:r>
    </w:p>
    <w:p w14:paraId="28996AB3" w14:textId="77777777" w:rsidR="001036E6" w:rsidRPr="007D7061" w:rsidRDefault="001036E6" w:rsidP="001036E6">
      <w:pPr>
        <w:pStyle w:val="Default"/>
        <w:spacing w:line="23" w:lineRule="atLeast"/>
        <w:jc w:val="both"/>
        <w:rPr>
          <w:rFonts w:ascii="Times New Roman" w:hAnsi="Times New Roman" w:cs="Times New Roman"/>
          <w:color w:val="auto"/>
          <w:sz w:val="10"/>
          <w:szCs w:val="10"/>
          <w:lang w:val="en-US" w:bidi="ar-SA"/>
        </w:rPr>
      </w:pPr>
    </w:p>
    <w:p w14:paraId="209F2521" w14:textId="40BF227B" w:rsidR="001036E6" w:rsidRPr="007D7061" w:rsidRDefault="00D20D1E" w:rsidP="00D20D1E">
      <w:pPr>
        <w:spacing w:after="200" w:line="276" w:lineRule="auto"/>
        <w:ind w:left="360"/>
        <w:jc w:val="both"/>
        <w:rPr>
          <w:rFonts w:ascii="Times New Roman" w:hAnsi="Times New Roman" w:cs="Times New Roman"/>
          <w:color w:val="FF0000"/>
        </w:rPr>
      </w:pPr>
      <w:r w:rsidRPr="007D7061">
        <w:rPr>
          <w:rFonts w:ascii="Times New Roman" w:hAnsi="Times New Roman" w:cs="Times New Roman"/>
          <w:color w:val="000000" w:themeColor="text1"/>
        </w:rPr>
        <w:t>To reduce the time and cost required for cross-border trade in Participating Pacific Island Countries (PPICs)</w:t>
      </w:r>
    </w:p>
    <w:p w14:paraId="13B272CB" w14:textId="63B85B7B" w:rsidR="00D532E5" w:rsidRPr="007D7061" w:rsidRDefault="00D532E5" w:rsidP="00D532E5">
      <w:pPr>
        <w:spacing w:after="0" w:line="23" w:lineRule="atLeast"/>
        <w:jc w:val="both"/>
        <w:rPr>
          <w:rFonts w:ascii="Times New Roman" w:hAnsi="Times New Roman" w:cs="Times New Roman"/>
        </w:rPr>
      </w:pPr>
      <w:r w:rsidRPr="007D7061">
        <w:rPr>
          <w:rFonts w:ascii="Times New Roman" w:hAnsi="Times New Roman" w:cs="Times New Roman"/>
        </w:rPr>
        <w:t>The project focuses on modernizing customs and border management systems, strengthening port operations, and enhancing regional coordination to improve trade efficiency, lower costs for households and businesses, and build resilience in times of crisis.</w:t>
      </w:r>
    </w:p>
    <w:p w14:paraId="3FEA7EE2" w14:textId="77777777" w:rsidR="00D532E5" w:rsidRPr="007D7061" w:rsidRDefault="00D532E5" w:rsidP="00D532E5">
      <w:pPr>
        <w:spacing w:after="0" w:line="23" w:lineRule="atLeast"/>
        <w:jc w:val="both"/>
        <w:rPr>
          <w:rFonts w:ascii="Times New Roman" w:hAnsi="Times New Roman" w:cs="Times New Roman"/>
        </w:rPr>
      </w:pPr>
    </w:p>
    <w:p w14:paraId="0FFBE940" w14:textId="77777777" w:rsidR="003207C0" w:rsidRPr="007D7061" w:rsidRDefault="004311F4" w:rsidP="00D532E5">
      <w:pPr>
        <w:spacing w:after="0" w:line="23" w:lineRule="atLeast"/>
        <w:jc w:val="both"/>
        <w:rPr>
          <w:rFonts w:ascii="Times New Roman" w:hAnsi="Times New Roman" w:cs="Times New Roman"/>
        </w:rPr>
      </w:pPr>
      <w:r w:rsidRPr="007D7061">
        <w:rPr>
          <w:rFonts w:ascii="Times New Roman" w:hAnsi="Times New Roman" w:cs="Times New Roman"/>
        </w:rPr>
        <w:t>P</w:t>
      </w:r>
      <w:r w:rsidR="00D532E5" w:rsidRPr="007D7061">
        <w:rPr>
          <w:rFonts w:ascii="Times New Roman" w:hAnsi="Times New Roman" w:cs="Times New Roman"/>
        </w:rPr>
        <w:t xml:space="preserve">roject activities include upgrading customs software (ASYCUDA), developing a National Single Window system, enhancing the trade portal and capacity for importers and exporters, and providing new cargo inspection equipment. Investments will also support improved port infrastructure and operations in Nuku’alofa and </w:t>
      </w:r>
      <w:proofErr w:type="spellStart"/>
      <w:r w:rsidR="00D532E5" w:rsidRPr="007D7061">
        <w:rPr>
          <w:rFonts w:ascii="Times New Roman" w:hAnsi="Times New Roman" w:cs="Times New Roman"/>
        </w:rPr>
        <w:t>Vava’u</w:t>
      </w:r>
      <w:proofErr w:type="spellEnd"/>
      <w:r w:rsidR="00D532E5" w:rsidRPr="007D7061">
        <w:rPr>
          <w:rFonts w:ascii="Times New Roman" w:hAnsi="Times New Roman" w:cs="Times New Roman"/>
        </w:rPr>
        <w:t>, with options for further studies into fisheries terminal upgrades. These activities are designed to increase efficiency, strengthen resilience, and contribute to Tonga’s economic competitiveness and growth.</w:t>
      </w:r>
      <w:r w:rsidR="003207C0" w:rsidRPr="007D7061">
        <w:rPr>
          <w:rFonts w:ascii="Times New Roman" w:hAnsi="Times New Roman" w:cs="Times New Roman"/>
        </w:rPr>
        <w:t xml:space="preserve"> </w:t>
      </w:r>
    </w:p>
    <w:p w14:paraId="14601D23" w14:textId="69406907" w:rsidR="001036E6" w:rsidRPr="007D7061" w:rsidRDefault="001036E6" w:rsidP="00D532E5">
      <w:pPr>
        <w:spacing w:after="0" w:line="23" w:lineRule="atLeast"/>
        <w:jc w:val="both"/>
        <w:rPr>
          <w:rFonts w:ascii="Times New Roman" w:hAnsi="Times New Roman" w:cs="Times New Roman"/>
        </w:rPr>
      </w:pPr>
      <w:r w:rsidRPr="007D7061">
        <w:rPr>
          <w:rFonts w:ascii="Times New Roman" w:hAnsi="Times New Roman" w:cs="Times New Roman"/>
        </w:rPr>
        <w:lastRenderedPageBreak/>
        <w:t>The project consist</w:t>
      </w:r>
      <w:r w:rsidR="003207C0" w:rsidRPr="007D7061">
        <w:rPr>
          <w:rFonts w:ascii="Times New Roman" w:hAnsi="Times New Roman" w:cs="Times New Roman"/>
        </w:rPr>
        <w:t>s</w:t>
      </w:r>
      <w:r w:rsidRPr="007D7061">
        <w:rPr>
          <w:rFonts w:ascii="Times New Roman" w:hAnsi="Times New Roman" w:cs="Times New Roman"/>
        </w:rPr>
        <w:t xml:space="preserve"> of </w:t>
      </w:r>
      <w:r w:rsidR="0050174D" w:rsidRPr="007D7061">
        <w:rPr>
          <w:rFonts w:ascii="Times New Roman" w:hAnsi="Times New Roman" w:cs="Times New Roman"/>
          <w:color w:val="000000" w:themeColor="text1"/>
        </w:rPr>
        <w:t>3</w:t>
      </w:r>
      <w:r w:rsidRPr="007D7061">
        <w:rPr>
          <w:rFonts w:ascii="Times New Roman" w:hAnsi="Times New Roman" w:cs="Times New Roman"/>
          <w:i/>
          <w:iCs/>
        </w:rPr>
        <w:t xml:space="preserve"> </w:t>
      </w:r>
      <w:r w:rsidRPr="007D7061">
        <w:rPr>
          <w:rFonts w:ascii="Times New Roman" w:hAnsi="Times New Roman" w:cs="Times New Roman"/>
        </w:rPr>
        <w:t>main components, one for each of the objectives and one for the project management through a Project Management Unit (PMU). There will be a separate component that can be triggered in case there is a need to respond to an emergency.</w:t>
      </w:r>
    </w:p>
    <w:p w14:paraId="628B67AF" w14:textId="77777777" w:rsidR="00EC3754" w:rsidRPr="007D7061" w:rsidRDefault="00EC3754" w:rsidP="001036E6">
      <w:pPr>
        <w:spacing w:after="0" w:line="23" w:lineRule="atLeast"/>
        <w:jc w:val="both"/>
        <w:rPr>
          <w:rFonts w:ascii="Times New Roman" w:hAnsi="Times New Roman" w:cs="Times New Roman"/>
        </w:rPr>
      </w:pPr>
    </w:p>
    <w:p w14:paraId="256B63A7" w14:textId="6040EC15" w:rsidR="00EC3754" w:rsidRPr="007D7061" w:rsidRDefault="00065E61" w:rsidP="00EC3754">
      <w:pPr>
        <w:spacing w:after="0" w:line="23" w:lineRule="atLeast"/>
        <w:jc w:val="both"/>
        <w:rPr>
          <w:rFonts w:ascii="Times New Roman" w:hAnsi="Times New Roman" w:cs="Times New Roman"/>
        </w:rPr>
      </w:pPr>
      <w:bookmarkStart w:id="6" w:name="_Hlk176648795"/>
      <w:r w:rsidRPr="007D7061">
        <w:rPr>
          <w:rFonts w:ascii="Times New Roman" w:hAnsi="Times New Roman" w:cs="Times New Roman"/>
        </w:rPr>
        <w:t>A fully</w:t>
      </w:r>
      <w:r w:rsidR="00EC3754" w:rsidRPr="007D7061">
        <w:rPr>
          <w:rFonts w:ascii="Times New Roman" w:hAnsi="Times New Roman" w:cs="Times New Roman"/>
        </w:rPr>
        <w:t xml:space="preserve"> staffed and functional PMU </w:t>
      </w:r>
      <w:proofErr w:type="gramStart"/>
      <w:r w:rsidR="00EC3754" w:rsidRPr="007D7061">
        <w:rPr>
          <w:rFonts w:ascii="Times New Roman" w:hAnsi="Times New Roman" w:cs="Times New Roman"/>
        </w:rPr>
        <w:t>establishes</w:t>
      </w:r>
      <w:proofErr w:type="gramEnd"/>
      <w:r w:rsidR="00EC3754" w:rsidRPr="007D7061">
        <w:rPr>
          <w:rFonts w:ascii="Times New Roman" w:hAnsi="Times New Roman" w:cs="Times New Roman"/>
        </w:rPr>
        <w:t xml:space="preserve"> once the World Bank and </w:t>
      </w:r>
      <w:proofErr w:type="spellStart"/>
      <w:r w:rsidR="00EC3754" w:rsidRPr="007D7061">
        <w:rPr>
          <w:rFonts w:ascii="Times New Roman" w:hAnsi="Times New Roman" w:cs="Times New Roman"/>
        </w:rPr>
        <w:t>GoT</w:t>
      </w:r>
      <w:proofErr w:type="spellEnd"/>
      <w:r w:rsidR="00EC3754" w:rsidRPr="007D7061">
        <w:rPr>
          <w:rFonts w:ascii="Times New Roman" w:hAnsi="Times New Roman" w:cs="Times New Roman"/>
        </w:rPr>
        <w:t xml:space="preserve"> sign the agreement. Functional PMU includes a Project Manager, Procurement Officer, Environmental and Social (E&amp;S) Officer, Finance Management Officer, Monitoring &amp; Evaluation Officer, and other consultants as</w:t>
      </w:r>
      <w:r w:rsidR="0050321D" w:rsidRPr="007D7061">
        <w:rPr>
          <w:rFonts w:ascii="Times New Roman" w:hAnsi="Times New Roman" w:cs="Times New Roman"/>
        </w:rPr>
        <w:t xml:space="preserve"> needed</w:t>
      </w:r>
      <w:r w:rsidR="00EC3754" w:rsidRPr="007D7061">
        <w:rPr>
          <w:rFonts w:ascii="Times New Roman" w:hAnsi="Times New Roman" w:cs="Times New Roman"/>
        </w:rPr>
        <w:t xml:space="preserve">. </w:t>
      </w:r>
    </w:p>
    <w:p w14:paraId="7EB67486" w14:textId="77777777" w:rsidR="006C47BA" w:rsidRPr="007D7061" w:rsidRDefault="006C47BA" w:rsidP="00EC3754">
      <w:pPr>
        <w:spacing w:after="0" w:line="23" w:lineRule="atLeast"/>
        <w:jc w:val="both"/>
        <w:rPr>
          <w:rFonts w:ascii="Times New Roman" w:hAnsi="Times New Roman" w:cs="Times New Roman"/>
        </w:rPr>
      </w:pPr>
    </w:p>
    <w:p w14:paraId="60B9933A" w14:textId="77777777" w:rsidR="006C47BA" w:rsidRPr="007D7061" w:rsidRDefault="006C47BA" w:rsidP="006C47BA">
      <w:pPr>
        <w:spacing w:after="0" w:line="23" w:lineRule="atLeast"/>
        <w:jc w:val="both"/>
        <w:rPr>
          <w:rFonts w:ascii="Times New Roman" w:hAnsi="Times New Roman" w:cs="Times New Roman"/>
        </w:rPr>
      </w:pPr>
      <w:r w:rsidRPr="007D7061">
        <w:rPr>
          <w:rFonts w:ascii="Times New Roman" w:hAnsi="Times New Roman" w:cs="Times New Roman"/>
        </w:rPr>
        <w:t xml:space="preserve">The project will follow the World Bank’s Environmental and Social Framework (ESF). The ESF can be found at </w:t>
      </w:r>
      <w:hyperlink r:id="rId12" w:history="1">
        <w:r w:rsidRPr="007D7061">
          <w:rPr>
            <w:rStyle w:val="Hyperlink"/>
            <w:rFonts w:ascii="Times New Roman" w:hAnsi="Times New Roman" w:cs="Times New Roman"/>
          </w:rPr>
          <w:t>https://www.worldbank.org/en/projects-operations/environmental-and-social-framework</w:t>
        </w:r>
      </w:hyperlink>
      <w:r w:rsidRPr="007D7061">
        <w:rPr>
          <w:rFonts w:ascii="Times New Roman" w:hAnsi="Times New Roman" w:cs="Times New Roman"/>
        </w:rPr>
        <w:t xml:space="preserve">. The Environmental and Social Standards (ESS) provides guidance </w:t>
      </w:r>
      <w:proofErr w:type="gramStart"/>
      <w:r w:rsidRPr="007D7061">
        <w:rPr>
          <w:rFonts w:ascii="Times New Roman" w:hAnsi="Times New Roman" w:cs="Times New Roman"/>
        </w:rPr>
        <w:t>of</w:t>
      </w:r>
      <w:proofErr w:type="gramEnd"/>
      <w:r w:rsidRPr="007D7061">
        <w:rPr>
          <w:rFonts w:ascii="Times New Roman" w:hAnsi="Times New Roman" w:cs="Times New Roman"/>
        </w:rPr>
        <w:t xml:space="preserve"> each sub-topic of ESF.</w:t>
      </w:r>
    </w:p>
    <w:p w14:paraId="2CE7E55F" w14:textId="77777777" w:rsidR="006C47BA" w:rsidRPr="007D7061" w:rsidRDefault="006C47BA" w:rsidP="00EC3754">
      <w:pPr>
        <w:spacing w:after="0" w:line="23" w:lineRule="atLeast"/>
        <w:jc w:val="both"/>
        <w:rPr>
          <w:rFonts w:ascii="Times New Roman" w:hAnsi="Times New Roman" w:cs="Times New Roman"/>
        </w:rPr>
      </w:pPr>
    </w:p>
    <w:bookmarkEnd w:id="6"/>
    <w:p w14:paraId="4AC2F786" w14:textId="5F8C3196" w:rsidR="006C47BA" w:rsidRPr="007D7061" w:rsidRDefault="001036E6" w:rsidP="00077C37">
      <w:pPr>
        <w:spacing w:after="0" w:line="23" w:lineRule="atLeast"/>
        <w:jc w:val="both"/>
      </w:pPr>
      <w:r w:rsidRPr="007D7061">
        <w:rPr>
          <w:rFonts w:ascii="Times New Roman" w:hAnsi="Times New Roman" w:cs="Times New Roman"/>
        </w:rPr>
        <w:t xml:space="preserve">The most recent version of the Project’s Procurement Plan can be found </w:t>
      </w:r>
      <w:bookmarkStart w:id="7" w:name="_Hlk171430270"/>
      <w:bookmarkStart w:id="8" w:name="_Hlk171413445"/>
      <w:bookmarkStart w:id="9" w:name="_Hlk157335961"/>
      <w:bookmarkEnd w:id="0"/>
      <w:bookmarkEnd w:id="1"/>
      <w:r w:rsidR="00077C37" w:rsidRPr="007D7061">
        <w:rPr>
          <w:rFonts w:ascii="Times New Roman" w:hAnsi="Times New Roman" w:cs="Times New Roman"/>
        </w:rPr>
        <w:t xml:space="preserve">here: </w:t>
      </w:r>
      <w:hyperlink r:id="rId13" w:history="1">
        <w:r w:rsidR="00077C37" w:rsidRPr="007D7061">
          <w:rPr>
            <w:rStyle w:val="Hyperlink"/>
            <w:rFonts w:ascii="Times New Roman" w:hAnsi="Times New Roman" w:cs="Times New Roman"/>
          </w:rPr>
          <w:t>https://projects.worldbank.org/en/projects-operations/document-detail/P508537?type=projects</w:t>
        </w:r>
      </w:hyperlink>
    </w:p>
    <w:p w14:paraId="4B83B615" w14:textId="77777777" w:rsidR="00077C37" w:rsidRPr="007D7061" w:rsidRDefault="00077C37" w:rsidP="00077C37">
      <w:pPr>
        <w:spacing w:after="0" w:line="23" w:lineRule="atLeast"/>
        <w:jc w:val="both"/>
      </w:pPr>
    </w:p>
    <w:p w14:paraId="406E95B3" w14:textId="5AD193AD" w:rsidR="003C4A57" w:rsidRPr="007D7061" w:rsidRDefault="003C4A57" w:rsidP="003C4A57">
      <w:pPr>
        <w:pStyle w:val="ListParagraph"/>
        <w:numPr>
          <w:ilvl w:val="0"/>
          <w:numId w:val="1"/>
        </w:numPr>
        <w:spacing w:after="0" w:line="23" w:lineRule="atLeast"/>
        <w:jc w:val="both"/>
        <w:rPr>
          <w:rFonts w:ascii="Times New Roman" w:hAnsi="Times New Roman" w:cs="Times New Roman"/>
        </w:rPr>
      </w:pPr>
      <w:r w:rsidRPr="007D7061">
        <w:rPr>
          <w:rFonts w:ascii="Times New Roman" w:hAnsi="Times New Roman" w:cs="Times New Roman"/>
          <w:b/>
          <w:i/>
          <w:u w:val="single"/>
        </w:rPr>
        <w:t xml:space="preserve">Implementing Arrangements </w:t>
      </w:r>
    </w:p>
    <w:p w14:paraId="226CB020" w14:textId="77777777" w:rsidR="00065E61" w:rsidRPr="007D7061" w:rsidRDefault="00065E61" w:rsidP="003C4A57">
      <w:pPr>
        <w:spacing w:after="0" w:line="23" w:lineRule="atLeast"/>
        <w:jc w:val="both"/>
        <w:rPr>
          <w:rFonts w:ascii="Times New Roman" w:hAnsi="Times New Roman" w:cs="Times New Roman"/>
        </w:rPr>
      </w:pPr>
    </w:p>
    <w:p w14:paraId="1F979660" w14:textId="18592E7F" w:rsidR="00065E61" w:rsidRPr="007D7061" w:rsidRDefault="00065E61" w:rsidP="00065E61">
      <w:pPr>
        <w:spacing w:after="0" w:line="23" w:lineRule="atLeast"/>
        <w:jc w:val="both"/>
        <w:rPr>
          <w:rFonts w:ascii="Times New Roman" w:hAnsi="Times New Roman" w:cs="Times New Roman"/>
        </w:rPr>
      </w:pPr>
      <w:bookmarkStart w:id="10" w:name="_Hlk173501670"/>
      <w:r w:rsidRPr="007D7061">
        <w:rPr>
          <w:rFonts w:ascii="Times New Roman" w:hAnsi="Times New Roman" w:cs="Times New Roman"/>
        </w:rPr>
        <w:t xml:space="preserve">The </w:t>
      </w:r>
      <w:r w:rsidR="003736C1" w:rsidRPr="007D7061">
        <w:rPr>
          <w:rFonts w:ascii="Times New Roman" w:hAnsi="Times New Roman" w:cs="Times New Roman"/>
          <w:color w:val="000000" w:themeColor="text1"/>
        </w:rPr>
        <w:t>Ministr</w:t>
      </w:r>
      <w:r w:rsidR="004D528F" w:rsidRPr="007D7061">
        <w:rPr>
          <w:rFonts w:ascii="Times New Roman" w:hAnsi="Times New Roman" w:cs="Times New Roman"/>
          <w:color w:val="000000" w:themeColor="text1"/>
        </w:rPr>
        <w:t>y</w:t>
      </w:r>
      <w:r w:rsidR="003736C1" w:rsidRPr="007D7061">
        <w:rPr>
          <w:rFonts w:ascii="Times New Roman" w:hAnsi="Times New Roman" w:cs="Times New Roman"/>
          <w:color w:val="000000" w:themeColor="text1"/>
        </w:rPr>
        <w:t xml:space="preserve"> of Revenue and Customs</w:t>
      </w:r>
      <w:r w:rsidR="001C31EB" w:rsidRPr="007D7061">
        <w:rPr>
          <w:rFonts w:ascii="Times New Roman" w:hAnsi="Times New Roman" w:cs="Times New Roman"/>
          <w:color w:val="000000" w:themeColor="text1"/>
        </w:rPr>
        <w:t>, Ports Authority</w:t>
      </w:r>
      <w:r w:rsidR="0037207B" w:rsidRPr="007D7061">
        <w:rPr>
          <w:rFonts w:ascii="Times New Roman" w:hAnsi="Times New Roman" w:cs="Times New Roman"/>
          <w:color w:val="000000" w:themeColor="text1"/>
        </w:rPr>
        <w:t xml:space="preserve"> and </w:t>
      </w:r>
      <w:r w:rsidR="004D528F" w:rsidRPr="007D7061">
        <w:rPr>
          <w:rFonts w:ascii="Times New Roman" w:hAnsi="Times New Roman" w:cs="Times New Roman"/>
          <w:color w:val="000000" w:themeColor="text1"/>
        </w:rPr>
        <w:t xml:space="preserve">Ministry of </w:t>
      </w:r>
      <w:r w:rsidR="0037207B" w:rsidRPr="007D7061">
        <w:rPr>
          <w:rFonts w:ascii="Times New Roman" w:hAnsi="Times New Roman" w:cs="Times New Roman"/>
          <w:color w:val="000000" w:themeColor="text1"/>
        </w:rPr>
        <w:t>Infrastructure</w:t>
      </w:r>
      <w:r w:rsidR="003736C1" w:rsidRPr="007D7061">
        <w:rPr>
          <w:rFonts w:ascii="Times New Roman" w:hAnsi="Times New Roman" w:cs="Times New Roman"/>
          <w:color w:val="000000" w:themeColor="text1"/>
        </w:rPr>
        <w:t xml:space="preserve"> </w:t>
      </w:r>
      <w:r w:rsidR="0037207B" w:rsidRPr="007D7061">
        <w:rPr>
          <w:rFonts w:ascii="Times New Roman" w:hAnsi="Times New Roman" w:cs="Times New Roman"/>
        </w:rPr>
        <w:t>are</w:t>
      </w:r>
      <w:r w:rsidRPr="007D7061">
        <w:rPr>
          <w:rFonts w:ascii="Times New Roman" w:hAnsi="Times New Roman" w:cs="Times New Roman"/>
        </w:rPr>
        <w:t xml:space="preserve"> the Implementing Agenc</w:t>
      </w:r>
      <w:r w:rsidR="0037207B" w:rsidRPr="007D7061">
        <w:rPr>
          <w:rFonts w:ascii="Times New Roman" w:hAnsi="Times New Roman" w:cs="Times New Roman"/>
        </w:rPr>
        <w:t>ies</w:t>
      </w:r>
      <w:r w:rsidRPr="007D7061">
        <w:rPr>
          <w:rFonts w:ascii="Times New Roman" w:hAnsi="Times New Roman" w:cs="Times New Roman"/>
        </w:rPr>
        <w:t xml:space="preserve"> (IA</w:t>
      </w:r>
      <w:r w:rsidR="0037207B" w:rsidRPr="007D7061">
        <w:rPr>
          <w:rFonts w:ascii="Times New Roman" w:hAnsi="Times New Roman" w:cs="Times New Roman"/>
        </w:rPr>
        <w:t>s</w:t>
      </w:r>
      <w:r w:rsidRPr="007D7061">
        <w:rPr>
          <w:rFonts w:ascii="Times New Roman" w:hAnsi="Times New Roman" w:cs="Times New Roman"/>
        </w:rPr>
        <w:t>) for the project and</w:t>
      </w:r>
      <w:r w:rsidR="008342B7" w:rsidRPr="007D7061">
        <w:rPr>
          <w:rFonts w:ascii="Times New Roman" w:hAnsi="Times New Roman" w:cs="Times New Roman"/>
        </w:rPr>
        <w:t>,</w:t>
      </w:r>
      <w:r w:rsidRPr="007D7061">
        <w:rPr>
          <w:rFonts w:ascii="Times New Roman" w:hAnsi="Times New Roman" w:cs="Times New Roman"/>
        </w:rPr>
        <w:t xml:space="preserve"> </w:t>
      </w:r>
      <w:r w:rsidR="00E20304" w:rsidRPr="007D7061">
        <w:rPr>
          <w:rFonts w:ascii="Times New Roman" w:hAnsi="Times New Roman" w:cs="Times New Roman"/>
        </w:rPr>
        <w:t>along with the National Trade Facilitation and Policy Committee</w:t>
      </w:r>
      <w:r w:rsidR="008342B7" w:rsidRPr="007D7061">
        <w:rPr>
          <w:rFonts w:ascii="Times New Roman" w:hAnsi="Times New Roman" w:cs="Times New Roman"/>
        </w:rPr>
        <w:t>,</w:t>
      </w:r>
      <w:r w:rsidR="00E20304" w:rsidRPr="007D7061">
        <w:rPr>
          <w:rFonts w:ascii="Times New Roman" w:hAnsi="Times New Roman" w:cs="Times New Roman"/>
        </w:rPr>
        <w:t xml:space="preserve"> </w:t>
      </w:r>
      <w:r w:rsidRPr="007D7061">
        <w:rPr>
          <w:rFonts w:ascii="Times New Roman" w:hAnsi="Times New Roman" w:cs="Times New Roman"/>
        </w:rPr>
        <w:t xml:space="preserve">will chair a Project Steering Committee (PSC), which will provide strategic oversight and coordination of the project. The PSC will comprise representatives from relevant line ministries. </w:t>
      </w:r>
    </w:p>
    <w:p w14:paraId="1570A9EF" w14:textId="77777777" w:rsidR="00065E61" w:rsidRPr="007D7061" w:rsidRDefault="00065E61" w:rsidP="00065E61">
      <w:pPr>
        <w:spacing w:after="0" w:line="23" w:lineRule="atLeast"/>
        <w:jc w:val="both"/>
        <w:rPr>
          <w:rFonts w:ascii="Times New Roman" w:hAnsi="Times New Roman" w:cs="Times New Roman"/>
        </w:rPr>
      </w:pPr>
    </w:p>
    <w:p w14:paraId="4F2D6D81" w14:textId="0FEAEE0C" w:rsidR="00086D3D" w:rsidRPr="007D7061" w:rsidRDefault="00065E61" w:rsidP="001C31EB">
      <w:pPr>
        <w:jc w:val="both"/>
        <w:rPr>
          <w:rFonts w:ascii="Times New Roman" w:eastAsia="Times New Roman" w:hAnsi="Times New Roman" w:cs="Times New Roman"/>
          <w:szCs w:val="20"/>
        </w:rPr>
      </w:pPr>
      <w:r w:rsidRPr="007D7061">
        <w:rPr>
          <w:rFonts w:ascii="Times New Roman" w:hAnsi="Times New Roman" w:cs="Times New Roman"/>
        </w:rPr>
        <w:t xml:space="preserve">The Project Management Unit (PMU), when fully operational, will include project planning, coordination, financial management, procurement and contract management, environmental and social risk management, and monitoring and reporting functions. The Central Services Unit (CSU), established under the Ministry of Finance (MOF), is required to proactively </w:t>
      </w:r>
      <w:proofErr w:type="gramStart"/>
      <w:r w:rsidRPr="007D7061">
        <w:rPr>
          <w:rFonts w:ascii="Times New Roman" w:hAnsi="Times New Roman" w:cs="Times New Roman"/>
        </w:rPr>
        <w:t>supports</w:t>
      </w:r>
      <w:proofErr w:type="gramEnd"/>
      <w:r w:rsidRPr="007D7061">
        <w:rPr>
          <w:rFonts w:ascii="Times New Roman" w:hAnsi="Times New Roman" w:cs="Times New Roman"/>
        </w:rPr>
        <w:t xml:space="preserve"> IA’s-PMU so that it can successfully </w:t>
      </w:r>
      <w:proofErr w:type="gramStart"/>
      <w:r w:rsidRPr="007D7061">
        <w:rPr>
          <w:rFonts w:ascii="Times New Roman" w:hAnsi="Times New Roman" w:cs="Times New Roman"/>
        </w:rPr>
        <w:t>achieves</w:t>
      </w:r>
      <w:proofErr w:type="gramEnd"/>
      <w:r w:rsidRPr="007D7061">
        <w:rPr>
          <w:rFonts w:ascii="Times New Roman" w:hAnsi="Times New Roman" w:cs="Times New Roman"/>
        </w:rPr>
        <w:t xml:space="preserve"> Project Development Objectives. </w:t>
      </w:r>
      <w:bookmarkEnd w:id="10"/>
      <w:r w:rsidR="00633E32" w:rsidRPr="007D7061">
        <w:rPr>
          <w:rFonts w:ascii="Times New Roman" w:hAnsi="Times New Roman" w:cs="Times New Roman"/>
        </w:rPr>
        <w:t>The CSU includes an Environmental and Social (E&amp;S) Specialist, to support the management of E&amp;S risks and impacts across World Bank-supported projects in Tonga.</w:t>
      </w:r>
      <w:r w:rsidR="00086D3D" w:rsidRPr="007D7061">
        <w:rPr>
          <w:rFonts w:ascii="Times New Roman" w:hAnsi="Times New Roman" w:cs="Times New Roman"/>
        </w:rPr>
        <w:t xml:space="preserve"> The PMU will be expected to </w:t>
      </w:r>
      <w:r w:rsidR="00086D3D" w:rsidRPr="007D7061">
        <w:rPr>
          <w:rFonts w:ascii="Times New Roman" w:eastAsia="Times New Roman" w:hAnsi="Times New Roman" w:cs="Times New Roman"/>
          <w:szCs w:val="20"/>
        </w:rPr>
        <w:t>liaise and coordinate with the CSU in the completion of the E&amp;S requirements for the Project activities in Tonga.</w:t>
      </w:r>
    </w:p>
    <w:bookmarkEnd w:id="7"/>
    <w:bookmarkEnd w:id="8"/>
    <w:bookmarkEnd w:id="9"/>
    <w:p w14:paraId="501FDD5E" w14:textId="033FB266" w:rsidR="00FA6ABF" w:rsidRPr="007D7061" w:rsidRDefault="0038103B" w:rsidP="00FA6ABF">
      <w:pPr>
        <w:pStyle w:val="ListParagraph"/>
        <w:numPr>
          <w:ilvl w:val="0"/>
          <w:numId w:val="1"/>
        </w:numPr>
        <w:jc w:val="both"/>
        <w:rPr>
          <w:rFonts w:ascii="Times New Roman" w:hAnsi="Times New Roman" w:cs="Times New Roman"/>
          <w:b/>
          <w:i/>
          <w:u w:val="single"/>
        </w:rPr>
      </w:pPr>
      <w:r w:rsidRPr="007D7061">
        <w:rPr>
          <w:rFonts w:ascii="Times New Roman" w:hAnsi="Times New Roman" w:cs="Times New Roman"/>
          <w:b/>
          <w:i/>
          <w:u w:val="single"/>
        </w:rPr>
        <w:t>Objectives of the</w:t>
      </w:r>
      <w:r w:rsidR="0054432F" w:rsidRPr="007D7061">
        <w:rPr>
          <w:rFonts w:ascii="Times New Roman" w:hAnsi="Times New Roman" w:cs="Times New Roman"/>
          <w:b/>
          <w:i/>
          <w:u w:val="single"/>
        </w:rPr>
        <w:t xml:space="preserve"> A</w:t>
      </w:r>
      <w:r w:rsidRPr="007D7061">
        <w:rPr>
          <w:rFonts w:ascii="Times New Roman" w:hAnsi="Times New Roman" w:cs="Times New Roman"/>
          <w:b/>
          <w:i/>
          <w:u w:val="single"/>
        </w:rPr>
        <w:t>ssignment</w:t>
      </w:r>
    </w:p>
    <w:p w14:paraId="7E67765C" w14:textId="08B3539A" w:rsidR="006F364C" w:rsidRPr="007D7061" w:rsidRDefault="003F753D" w:rsidP="0046266A">
      <w:pPr>
        <w:rPr>
          <w:rFonts w:ascii="Times New Roman" w:hAnsi="Times New Roman" w:cs="Times New Roman"/>
        </w:rPr>
      </w:pPr>
      <w:bookmarkStart w:id="11" w:name="_Hlk213080282"/>
      <w:r w:rsidRPr="007D7061">
        <w:rPr>
          <w:rFonts w:ascii="Times New Roman" w:hAnsi="Times New Roman" w:cs="Times New Roman"/>
        </w:rPr>
        <w:t xml:space="preserve">The Government is seeking to recruit an Environmental and Social Officer ( ESO) to work with the ATFP </w:t>
      </w:r>
      <w:r w:rsidR="0054432F" w:rsidRPr="007D7061">
        <w:rPr>
          <w:rFonts w:ascii="Times New Roman" w:hAnsi="Times New Roman" w:cs="Times New Roman"/>
        </w:rPr>
        <w:t xml:space="preserve">PMU’s </w:t>
      </w:r>
      <w:r w:rsidR="00EE76FE" w:rsidRPr="007D7061">
        <w:rPr>
          <w:rFonts w:ascii="Times New Roman" w:hAnsi="Times New Roman" w:cs="Times New Roman"/>
        </w:rPr>
        <w:t xml:space="preserve">project manager </w:t>
      </w:r>
      <w:r w:rsidR="00DC1BDF" w:rsidRPr="007D7061">
        <w:rPr>
          <w:rFonts w:ascii="Times New Roman" w:hAnsi="Times New Roman" w:cs="Times New Roman"/>
        </w:rPr>
        <w:t xml:space="preserve">to assist in managing </w:t>
      </w:r>
      <w:r w:rsidR="00DF0739" w:rsidRPr="007D7061">
        <w:rPr>
          <w:rFonts w:ascii="Times New Roman" w:hAnsi="Times New Roman" w:cs="Times New Roman"/>
        </w:rPr>
        <w:t xml:space="preserve">environmental and social risks </w:t>
      </w:r>
      <w:r w:rsidR="00413CEA" w:rsidRPr="007D7061">
        <w:rPr>
          <w:rFonts w:ascii="Times New Roman" w:hAnsi="Times New Roman" w:cs="Times New Roman"/>
        </w:rPr>
        <w:t>and implement the Environmental and Social Commitment Plan (ESCP)</w:t>
      </w:r>
      <w:r w:rsidR="00FF73F2" w:rsidRPr="007D7061">
        <w:rPr>
          <w:rFonts w:ascii="Times New Roman" w:hAnsi="Times New Roman" w:cs="Times New Roman"/>
        </w:rPr>
        <w:t xml:space="preserve"> </w:t>
      </w:r>
      <w:r w:rsidR="00F47170" w:rsidRPr="007D7061">
        <w:rPr>
          <w:rFonts w:ascii="Times New Roman" w:hAnsi="Times New Roman" w:cs="Times New Roman"/>
        </w:rPr>
        <w:t xml:space="preserve">and to </w:t>
      </w:r>
      <w:r w:rsidR="00F6701D" w:rsidRPr="007D7061">
        <w:rPr>
          <w:rFonts w:ascii="Times New Roman" w:hAnsi="Times New Roman" w:cs="Times New Roman"/>
        </w:rPr>
        <w:t xml:space="preserve">support the PMU to </w:t>
      </w:r>
      <w:r w:rsidR="006E77EA" w:rsidRPr="007D7061">
        <w:rPr>
          <w:rFonts w:ascii="Times New Roman" w:hAnsi="Times New Roman" w:cs="Times New Roman"/>
        </w:rPr>
        <w:t xml:space="preserve">implement project E&amp;S instruments </w:t>
      </w:r>
      <w:r w:rsidR="00674BCA" w:rsidRPr="007D7061">
        <w:rPr>
          <w:rFonts w:ascii="Times New Roman" w:hAnsi="Times New Roman" w:cs="Times New Roman"/>
        </w:rPr>
        <w:t xml:space="preserve">in compliance </w:t>
      </w:r>
      <w:r w:rsidR="0046266A" w:rsidRPr="007D7061">
        <w:rPr>
          <w:rFonts w:ascii="Times New Roman" w:hAnsi="Times New Roman" w:cs="Times New Roman"/>
        </w:rPr>
        <w:t>with the World Bank’s Environmental and Social Framework (ESF) and Tongan environmental, social and land laws, regulations, and procedures.</w:t>
      </w:r>
    </w:p>
    <w:bookmarkEnd w:id="11"/>
    <w:p w14:paraId="054FD3EF" w14:textId="6050CC75" w:rsidR="003F753D" w:rsidRPr="007D7061" w:rsidRDefault="003F753D" w:rsidP="0046266A">
      <w:pPr>
        <w:rPr>
          <w:rFonts w:ascii="Times New Roman" w:hAnsi="Times New Roman" w:cs="Times New Roman"/>
        </w:rPr>
      </w:pPr>
      <w:r w:rsidRPr="007D7061">
        <w:rPr>
          <w:rFonts w:ascii="Times New Roman" w:hAnsi="Times New Roman" w:cs="Times New Roman"/>
        </w:rPr>
        <w:t>This Terms of Reference (TOR) covers the duties and responsibilities of the ATFP PMU ESO, who will be part of the PMU for the project under the Ministry of Revenue and Customs as one of the IAs and will report directly to the PM of the PMU.</w:t>
      </w:r>
    </w:p>
    <w:p w14:paraId="13F7B05C" w14:textId="5330632F" w:rsidR="007C783C" w:rsidRPr="007D7061" w:rsidRDefault="00A95423" w:rsidP="007C783C">
      <w:pPr>
        <w:spacing w:after="0" w:line="23" w:lineRule="atLeast"/>
        <w:jc w:val="both"/>
        <w:rPr>
          <w:rFonts w:ascii="Times New Roman" w:hAnsi="Times New Roman" w:cs="Times New Roman"/>
          <w:color w:val="000000"/>
          <w:lang w:bidi="bn-BD"/>
        </w:rPr>
      </w:pPr>
      <w:r w:rsidRPr="007D7061">
        <w:rPr>
          <w:rFonts w:ascii="Times New Roman" w:hAnsi="Times New Roman" w:cs="Times New Roman"/>
          <w:color w:val="000000"/>
          <w:lang w:val="en-AU" w:bidi="bn-BD"/>
        </w:rPr>
        <w:t>The ESO is required to work closely with the PM of the Project, CSU-PM</w:t>
      </w:r>
      <w:proofErr w:type="gramStart"/>
      <w:r w:rsidRPr="007D7061">
        <w:rPr>
          <w:rFonts w:ascii="Times New Roman" w:hAnsi="Times New Roman" w:cs="Times New Roman"/>
          <w:color w:val="000000"/>
          <w:lang w:val="en-AU" w:bidi="bn-BD"/>
        </w:rPr>
        <w:t>, ,</w:t>
      </w:r>
      <w:proofErr w:type="gramEnd"/>
      <w:r w:rsidRPr="007D7061">
        <w:rPr>
          <w:rFonts w:ascii="Times New Roman" w:hAnsi="Times New Roman" w:cs="Times New Roman"/>
          <w:color w:val="000000"/>
          <w:lang w:val="en-AU" w:bidi="bn-BD"/>
        </w:rPr>
        <w:t xml:space="preserve"> E&amp;S Specialist</w:t>
      </w:r>
      <w:r w:rsidR="007C783C" w:rsidRPr="007D7061">
        <w:rPr>
          <w:rFonts w:ascii="Times New Roman" w:hAnsi="Times New Roman" w:cs="Times New Roman"/>
          <w:color w:val="000000"/>
          <w:lang w:val="en-AU" w:bidi="bn-BD"/>
        </w:rPr>
        <w:t>.</w:t>
      </w:r>
      <w:r w:rsidR="007C783C" w:rsidRPr="007D7061">
        <w:rPr>
          <w:rFonts w:ascii="Times New Roman" w:hAnsi="Times New Roman" w:cs="Times New Roman"/>
          <w:color w:val="000000"/>
          <w:lang w:bidi="bn-BD"/>
        </w:rPr>
        <w:t xml:space="preserve">The E&amp;S Officer will be expected to undertake this assignment with initiative and approach the role in a pro-active manner. An ability to work independently as well as in a team environment will be essential and shall develop professional relationships of trust and confidence and shall work closely with key Government agencies </w:t>
      </w:r>
      <w:r w:rsidR="007C783C" w:rsidRPr="007D7061">
        <w:rPr>
          <w:rFonts w:ascii="Times New Roman" w:hAnsi="Times New Roman" w:cs="Times New Roman"/>
          <w:color w:val="000000"/>
          <w:lang w:val="en-AU" w:bidi="bn-BD"/>
        </w:rPr>
        <w:t xml:space="preserve">and other stakeholders </w:t>
      </w:r>
      <w:r w:rsidR="007C783C" w:rsidRPr="007D7061">
        <w:rPr>
          <w:rFonts w:ascii="Times New Roman" w:hAnsi="Times New Roman" w:cs="Times New Roman"/>
          <w:color w:val="000000"/>
          <w:lang w:bidi="bn-BD"/>
        </w:rPr>
        <w:t>for the implementation of the Project.</w:t>
      </w:r>
    </w:p>
    <w:p w14:paraId="025B0079" w14:textId="20356A94" w:rsidR="00A95423" w:rsidRPr="007D7061" w:rsidRDefault="00A95423" w:rsidP="00A95423">
      <w:pPr>
        <w:spacing w:after="0" w:line="23" w:lineRule="atLeast"/>
        <w:jc w:val="both"/>
        <w:rPr>
          <w:rFonts w:ascii="Times New Roman" w:hAnsi="Times New Roman" w:cs="Times New Roman"/>
          <w:color w:val="000000"/>
          <w:lang w:bidi="bn-BD"/>
        </w:rPr>
      </w:pPr>
    </w:p>
    <w:p w14:paraId="782DE218" w14:textId="77777777" w:rsidR="00A95423" w:rsidRPr="007D7061" w:rsidRDefault="00A95423" w:rsidP="00A95423">
      <w:pPr>
        <w:spacing w:after="0" w:line="23" w:lineRule="atLeast"/>
        <w:jc w:val="both"/>
        <w:rPr>
          <w:rFonts w:ascii="Times New Roman" w:hAnsi="Times New Roman" w:cs="Times New Roman"/>
          <w:color w:val="000000"/>
          <w:sz w:val="10"/>
          <w:szCs w:val="10"/>
          <w:lang w:bidi="bn-BD"/>
        </w:rPr>
      </w:pPr>
    </w:p>
    <w:p w14:paraId="4DAA2DAC" w14:textId="7D1083B6" w:rsidR="00FA6ABF" w:rsidRPr="007D7061" w:rsidRDefault="0038103B" w:rsidP="004B634A">
      <w:pPr>
        <w:pStyle w:val="ListParagraph"/>
        <w:numPr>
          <w:ilvl w:val="0"/>
          <w:numId w:val="1"/>
        </w:numPr>
        <w:jc w:val="both"/>
        <w:rPr>
          <w:rFonts w:ascii="Times New Roman" w:hAnsi="Times New Roman" w:cs="Times New Roman"/>
          <w:b/>
          <w:i/>
          <w:u w:val="single"/>
        </w:rPr>
      </w:pPr>
      <w:r w:rsidRPr="007D7061">
        <w:rPr>
          <w:rFonts w:ascii="Times New Roman" w:hAnsi="Times New Roman" w:cs="Times New Roman"/>
          <w:b/>
          <w:i/>
          <w:u w:val="single"/>
        </w:rPr>
        <w:t>Scope of service</w:t>
      </w:r>
    </w:p>
    <w:p w14:paraId="22BA27F2" w14:textId="58D2B63C" w:rsidR="0088675C" w:rsidRPr="007D7061" w:rsidRDefault="0088675C" w:rsidP="0088675C">
      <w:pPr>
        <w:spacing w:after="0" w:line="276" w:lineRule="auto"/>
        <w:jc w:val="both"/>
        <w:rPr>
          <w:rFonts w:ascii="Times New Roman" w:hAnsi="Times New Roman" w:cs="Times New Roman"/>
        </w:rPr>
      </w:pPr>
      <w:bookmarkStart w:id="12" w:name="_Hlk213080365"/>
      <w:r w:rsidRPr="007D7061">
        <w:rPr>
          <w:rFonts w:ascii="Times New Roman" w:hAnsi="Times New Roman" w:cs="Times New Roman"/>
        </w:rPr>
        <w:t xml:space="preserve">As Part of the </w:t>
      </w:r>
      <w:r w:rsidR="004B634A" w:rsidRPr="007D7061">
        <w:rPr>
          <w:rFonts w:ascii="Times New Roman" w:hAnsi="Times New Roman" w:cs="Times New Roman"/>
        </w:rPr>
        <w:t>P</w:t>
      </w:r>
      <w:r w:rsidR="00CF3A75" w:rsidRPr="007D7061">
        <w:rPr>
          <w:rFonts w:ascii="Times New Roman" w:hAnsi="Times New Roman" w:cs="Times New Roman"/>
        </w:rPr>
        <w:t>MU</w:t>
      </w:r>
      <w:r w:rsidRPr="007D7061">
        <w:rPr>
          <w:rFonts w:ascii="Times New Roman" w:hAnsi="Times New Roman" w:cs="Times New Roman"/>
        </w:rPr>
        <w:t xml:space="preserve">, </w:t>
      </w:r>
      <w:r w:rsidR="00204EB2" w:rsidRPr="007D7061">
        <w:rPr>
          <w:rFonts w:ascii="Times New Roman" w:hAnsi="Times New Roman" w:cs="Times New Roman"/>
        </w:rPr>
        <w:t xml:space="preserve">duties and responsibilities of </w:t>
      </w:r>
      <w:r w:rsidRPr="007D7061">
        <w:rPr>
          <w:rFonts w:ascii="Times New Roman" w:hAnsi="Times New Roman" w:cs="Times New Roman"/>
        </w:rPr>
        <w:t xml:space="preserve">the </w:t>
      </w:r>
      <w:r w:rsidR="0046266A" w:rsidRPr="007D7061">
        <w:rPr>
          <w:rFonts w:ascii="Times New Roman" w:hAnsi="Times New Roman" w:cs="Times New Roman"/>
        </w:rPr>
        <w:t>E</w:t>
      </w:r>
      <w:r w:rsidR="004B634A" w:rsidRPr="007D7061">
        <w:rPr>
          <w:rFonts w:ascii="Times New Roman" w:hAnsi="Times New Roman" w:cs="Times New Roman"/>
        </w:rPr>
        <w:t xml:space="preserve">SSO will </w:t>
      </w:r>
      <w:r w:rsidR="0002759A" w:rsidRPr="007D7061">
        <w:rPr>
          <w:rFonts w:ascii="Times New Roman" w:hAnsi="Times New Roman" w:cs="Times New Roman"/>
        </w:rPr>
        <w:t>include the following</w:t>
      </w:r>
      <w:r w:rsidR="000930E0" w:rsidRPr="007D7061">
        <w:rPr>
          <w:rFonts w:ascii="Times New Roman" w:hAnsi="Times New Roman" w:cs="Times New Roman"/>
        </w:rPr>
        <w:t>:</w:t>
      </w:r>
      <w:r w:rsidR="00FA6ABF" w:rsidRPr="007D7061">
        <w:rPr>
          <w:rFonts w:ascii="Times New Roman" w:hAnsi="Times New Roman" w:cs="Times New Roman"/>
        </w:rPr>
        <w:t xml:space="preserve"> </w:t>
      </w:r>
    </w:p>
    <w:p w14:paraId="69E957B8" w14:textId="75E8DFB1" w:rsidR="00086D3D" w:rsidRPr="007D7061" w:rsidRDefault="0058612F" w:rsidP="00086D3D">
      <w:pPr>
        <w:pStyle w:val="ListParagraph"/>
        <w:numPr>
          <w:ilvl w:val="0"/>
          <w:numId w:val="28"/>
        </w:numPr>
        <w:jc w:val="both"/>
        <w:rPr>
          <w:rFonts w:ascii="Times New Roman" w:eastAsia="Times New Roman" w:hAnsi="Times New Roman" w:cs="Times New Roman"/>
          <w:szCs w:val="20"/>
        </w:rPr>
      </w:pPr>
      <w:r w:rsidRPr="007D7061">
        <w:rPr>
          <w:rFonts w:ascii="Times New Roman" w:eastAsia="Times New Roman" w:hAnsi="Times New Roman" w:cs="Times New Roman"/>
          <w:szCs w:val="20"/>
        </w:rPr>
        <w:lastRenderedPageBreak/>
        <w:t>Support</w:t>
      </w:r>
      <w:r w:rsidR="00086D3D" w:rsidRPr="007D7061">
        <w:rPr>
          <w:rFonts w:ascii="Times New Roman" w:eastAsia="Times New Roman" w:hAnsi="Times New Roman" w:cs="Times New Roman"/>
          <w:szCs w:val="20"/>
        </w:rPr>
        <w:t>ing the day – to – day implementation of E&amp;S risk management and mitigation measures and ensure that activities under PMU are undertaken in accordance with all E&amp;S instruments, as detailed in the Environmental and Social Commitment Plan (ESCP), and with Tongan environment and social regulatory requirements.</w:t>
      </w:r>
    </w:p>
    <w:p w14:paraId="20E91034" w14:textId="20A47505" w:rsidR="001379DB" w:rsidRPr="007D7061" w:rsidRDefault="00086D3D" w:rsidP="0046266A">
      <w:pPr>
        <w:pStyle w:val="ListParagraph"/>
        <w:numPr>
          <w:ilvl w:val="0"/>
          <w:numId w:val="28"/>
        </w:numPr>
        <w:jc w:val="both"/>
        <w:rPr>
          <w:rFonts w:ascii="Times New Roman" w:eastAsia="Times New Roman" w:hAnsi="Times New Roman" w:cs="Times New Roman"/>
          <w:szCs w:val="20"/>
        </w:rPr>
      </w:pPr>
      <w:r w:rsidRPr="007D7061">
        <w:rPr>
          <w:rFonts w:ascii="Times New Roman" w:eastAsia="Times New Roman" w:hAnsi="Times New Roman" w:cs="Times New Roman"/>
          <w:szCs w:val="20"/>
        </w:rPr>
        <w:t>Prepare the E&amp;S risk management section of the Project Operations Manual (POM)</w:t>
      </w:r>
      <w:r w:rsidR="008B6542" w:rsidRPr="007D7061">
        <w:rPr>
          <w:rFonts w:ascii="Times New Roman" w:eastAsia="Times New Roman" w:hAnsi="Times New Roman" w:cs="Times New Roman"/>
          <w:szCs w:val="20"/>
        </w:rPr>
        <w:t xml:space="preserve">as well as </w:t>
      </w:r>
      <w:r w:rsidRPr="007D7061">
        <w:rPr>
          <w:rFonts w:ascii="Times New Roman" w:eastAsia="Times New Roman" w:hAnsi="Times New Roman" w:cs="Times New Roman"/>
          <w:szCs w:val="20"/>
        </w:rPr>
        <w:t xml:space="preserve">identify/implement actions for strengthening systems and institutional capacity for on-ground implementation. </w:t>
      </w:r>
    </w:p>
    <w:p w14:paraId="62E2790A" w14:textId="0236EFE9" w:rsidR="00086D3D" w:rsidRPr="007D7061" w:rsidRDefault="00086D3D" w:rsidP="00086D3D">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Provide support to the IA in ensuring that the consultancies, work plans, preparatory studies, capacity building, training, and any other technical assistance activities under the Project are carried out in accordance with </w:t>
      </w:r>
      <w:proofErr w:type="spellStart"/>
      <w:r w:rsidRPr="007D7061">
        <w:rPr>
          <w:rFonts w:ascii="Times New Roman" w:eastAsia="Times New Roman" w:hAnsi="Times New Roman" w:cs="Times New Roman"/>
          <w:szCs w:val="20"/>
        </w:rPr>
        <w:t>ToRs</w:t>
      </w:r>
      <w:proofErr w:type="spellEnd"/>
      <w:r w:rsidRPr="007D7061">
        <w:rPr>
          <w:rFonts w:ascii="Times New Roman" w:eastAsia="Times New Roman" w:hAnsi="Times New Roman" w:cs="Times New Roman"/>
          <w:szCs w:val="20"/>
        </w:rPr>
        <w:t xml:space="preserve"> and in line with the WB ESSs.</w:t>
      </w:r>
    </w:p>
    <w:p w14:paraId="254A6673" w14:textId="77777777" w:rsidR="00086D3D" w:rsidRPr="007D7061" w:rsidRDefault="00086D3D" w:rsidP="00086D3D">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t>Prepare and disclose Labor Management Procedures (LMP) for each Recipient in accordance with ESS2.</w:t>
      </w:r>
    </w:p>
    <w:p w14:paraId="3249203F" w14:textId="77777777" w:rsidR="00086D3D" w:rsidRPr="007D7061" w:rsidRDefault="00086D3D" w:rsidP="00086D3D">
      <w:pPr>
        <w:numPr>
          <w:ilvl w:val="0"/>
          <w:numId w:val="28"/>
        </w:numPr>
        <w:contextualSpacing/>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Establish and operate a grievance mechanism for Project workers, as described in the LMP and consistent with ESS2. </w:t>
      </w:r>
    </w:p>
    <w:p w14:paraId="7894A2A6" w14:textId="2FAC42CD" w:rsidR="00086D3D" w:rsidRPr="007D7061" w:rsidRDefault="00086D3D" w:rsidP="001C31EB">
      <w:pPr>
        <w:numPr>
          <w:ilvl w:val="0"/>
          <w:numId w:val="28"/>
        </w:numPr>
        <w:spacing w:after="0"/>
        <w:contextualSpacing/>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Prepare, consult upon, disclose, a Stakeholder Engagement Plan (SEP) as set out in the Project Stakeholder Engagement Framework (SEF) and consistent with WB E&amp;S requirements </w:t>
      </w:r>
    </w:p>
    <w:p w14:paraId="00F487F0" w14:textId="26029082" w:rsidR="0092593B" w:rsidRPr="007D7061" w:rsidRDefault="0046266A" w:rsidP="001C31EB">
      <w:pPr>
        <w:pStyle w:val="ListParagraph"/>
        <w:numPr>
          <w:ilvl w:val="0"/>
          <w:numId w:val="28"/>
        </w:numPr>
        <w:spacing w:after="0"/>
        <w:jc w:val="both"/>
        <w:rPr>
          <w:rFonts w:ascii="Times New Roman" w:eastAsia="Times New Roman" w:hAnsi="Times New Roman" w:cs="Times New Roman"/>
          <w:szCs w:val="20"/>
        </w:rPr>
      </w:pPr>
      <w:r w:rsidRPr="007D7061">
        <w:rPr>
          <w:rFonts w:ascii="Times New Roman" w:eastAsia="Times New Roman" w:hAnsi="Times New Roman" w:cs="Times New Roman"/>
          <w:szCs w:val="20"/>
        </w:rPr>
        <w:t>Carry out environmental and social screening/assessments</w:t>
      </w:r>
      <w:r w:rsidR="00086D3D" w:rsidRPr="007D7061">
        <w:rPr>
          <w:rFonts w:ascii="Times New Roman" w:eastAsia="Times New Roman" w:hAnsi="Times New Roman" w:cs="Times New Roman"/>
          <w:szCs w:val="20"/>
        </w:rPr>
        <w:t xml:space="preserve"> process </w:t>
      </w:r>
      <w:r w:rsidR="005F3E31" w:rsidRPr="007D7061">
        <w:rPr>
          <w:rFonts w:ascii="Times New Roman" w:eastAsia="Times New Roman" w:hAnsi="Times New Roman" w:cs="Times New Roman"/>
          <w:szCs w:val="20"/>
        </w:rPr>
        <w:t xml:space="preserve">in </w:t>
      </w:r>
      <w:r w:rsidR="00086D3D" w:rsidRPr="007D7061">
        <w:rPr>
          <w:rFonts w:ascii="Times New Roman" w:eastAsia="Times New Roman" w:hAnsi="Times New Roman" w:cs="Times New Roman"/>
          <w:szCs w:val="20"/>
        </w:rPr>
        <w:t xml:space="preserve">consistent with </w:t>
      </w:r>
      <w:r w:rsidR="005F3E31" w:rsidRPr="007D7061">
        <w:rPr>
          <w:rFonts w:ascii="Times New Roman" w:eastAsia="Times New Roman" w:hAnsi="Times New Roman" w:cs="Times New Roman"/>
          <w:szCs w:val="20"/>
        </w:rPr>
        <w:t xml:space="preserve">the </w:t>
      </w:r>
      <w:r w:rsidR="00086D3D" w:rsidRPr="007D7061">
        <w:rPr>
          <w:rFonts w:ascii="Times New Roman" w:eastAsia="Times New Roman" w:hAnsi="Times New Roman" w:cs="Times New Roman"/>
          <w:szCs w:val="20"/>
        </w:rPr>
        <w:t>ESSs, as set out in the Focused E&amp;S Assessment</w:t>
      </w:r>
      <w:r w:rsidRPr="007D7061">
        <w:rPr>
          <w:rFonts w:ascii="Times New Roman" w:eastAsia="Times New Roman" w:hAnsi="Times New Roman" w:cs="Times New Roman"/>
          <w:szCs w:val="20"/>
        </w:rPr>
        <w:t xml:space="preserve"> to identify environmental and social risks and the mitigation strategies </w:t>
      </w:r>
      <w:r w:rsidR="0092593B" w:rsidRPr="007D7061">
        <w:rPr>
          <w:rFonts w:ascii="Times New Roman" w:eastAsia="Times New Roman" w:hAnsi="Times New Roman" w:cs="Times New Roman"/>
          <w:szCs w:val="20"/>
        </w:rPr>
        <w:t>required and</w:t>
      </w:r>
      <w:r w:rsidRPr="007D7061">
        <w:rPr>
          <w:rFonts w:ascii="Times New Roman" w:eastAsia="Times New Roman" w:hAnsi="Times New Roman" w:cs="Times New Roman"/>
          <w:szCs w:val="20"/>
        </w:rPr>
        <w:t xml:space="preserve"> implement</w:t>
      </w:r>
      <w:r w:rsidR="00086D3D" w:rsidRPr="007D7061">
        <w:rPr>
          <w:rFonts w:ascii="Times New Roman" w:eastAsia="Times New Roman" w:hAnsi="Times New Roman" w:cs="Times New Roman"/>
          <w:szCs w:val="20"/>
        </w:rPr>
        <w:t>.</w:t>
      </w:r>
    </w:p>
    <w:p w14:paraId="6D0278DA" w14:textId="7E3D78EE" w:rsidR="00A94256" w:rsidRPr="007D7061" w:rsidRDefault="00DF5DF2" w:rsidP="001C31EB">
      <w:pPr>
        <w:pStyle w:val="ListParagraph"/>
        <w:numPr>
          <w:ilvl w:val="0"/>
          <w:numId w:val="28"/>
        </w:numPr>
        <w:spacing w:after="0"/>
        <w:jc w:val="both"/>
        <w:rPr>
          <w:rFonts w:ascii="Times New Roman" w:eastAsia="Times New Roman" w:hAnsi="Times New Roman" w:cs="Times New Roman"/>
          <w:szCs w:val="20"/>
        </w:rPr>
      </w:pPr>
      <w:r w:rsidRPr="007D7061">
        <w:rPr>
          <w:rFonts w:ascii="Times New Roman" w:eastAsia="Times New Roman" w:hAnsi="Times New Roman" w:cs="Times New Roman"/>
          <w:szCs w:val="20"/>
        </w:rPr>
        <w:t>Coordinate</w:t>
      </w:r>
      <w:r w:rsidR="006A539B" w:rsidRPr="007D7061">
        <w:rPr>
          <w:rFonts w:ascii="Times New Roman" w:eastAsia="Times New Roman" w:hAnsi="Times New Roman" w:cs="Times New Roman"/>
          <w:szCs w:val="20"/>
        </w:rPr>
        <w:t xml:space="preserve">, facilitate and </w:t>
      </w:r>
      <w:r w:rsidR="002F7E8B" w:rsidRPr="007D7061">
        <w:rPr>
          <w:rFonts w:ascii="Times New Roman" w:eastAsia="Times New Roman" w:hAnsi="Times New Roman" w:cs="Times New Roman"/>
          <w:szCs w:val="20"/>
        </w:rPr>
        <w:t xml:space="preserve">where appropriate participate </w:t>
      </w:r>
      <w:r w:rsidR="00756DE9" w:rsidRPr="007D7061">
        <w:rPr>
          <w:rFonts w:ascii="Times New Roman" w:eastAsia="Times New Roman" w:hAnsi="Times New Roman" w:cs="Times New Roman"/>
          <w:szCs w:val="20"/>
        </w:rPr>
        <w:t xml:space="preserve">in face-to-face </w:t>
      </w:r>
      <w:r w:rsidR="006B37F6" w:rsidRPr="007D7061">
        <w:rPr>
          <w:rFonts w:ascii="Times New Roman" w:eastAsia="Times New Roman" w:hAnsi="Times New Roman" w:cs="Times New Roman"/>
          <w:szCs w:val="20"/>
        </w:rPr>
        <w:t>stakeholder meetings</w:t>
      </w:r>
    </w:p>
    <w:p w14:paraId="376BA078" w14:textId="76D88952" w:rsidR="000D0775" w:rsidRPr="007D7061" w:rsidRDefault="0046266A" w:rsidP="001C31EB">
      <w:pPr>
        <w:pStyle w:val="ListParagraph"/>
        <w:numPr>
          <w:ilvl w:val="0"/>
          <w:numId w:val="28"/>
        </w:numPr>
        <w:spacing w:after="0"/>
        <w:jc w:val="both"/>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Ensure </w:t>
      </w:r>
      <w:r w:rsidR="004B4C1B" w:rsidRPr="007D7061">
        <w:rPr>
          <w:rFonts w:ascii="Times New Roman" w:eastAsia="Times New Roman" w:hAnsi="Times New Roman" w:cs="Times New Roman"/>
          <w:szCs w:val="20"/>
        </w:rPr>
        <w:t xml:space="preserve">that stakeholder engagement </w:t>
      </w:r>
      <w:r w:rsidR="00916B2C" w:rsidRPr="007D7061">
        <w:rPr>
          <w:rFonts w:ascii="Times New Roman" w:eastAsia="Times New Roman" w:hAnsi="Times New Roman" w:cs="Times New Roman"/>
          <w:szCs w:val="20"/>
        </w:rPr>
        <w:t xml:space="preserve">and information dissemination </w:t>
      </w:r>
      <w:r w:rsidR="004B4C1B" w:rsidRPr="007D7061">
        <w:rPr>
          <w:rFonts w:ascii="Times New Roman" w:eastAsia="Times New Roman" w:hAnsi="Times New Roman" w:cs="Times New Roman"/>
          <w:szCs w:val="20"/>
        </w:rPr>
        <w:t xml:space="preserve">is undertaken </w:t>
      </w:r>
      <w:r w:rsidR="00346BD8" w:rsidRPr="007D7061">
        <w:rPr>
          <w:rFonts w:ascii="Times New Roman" w:eastAsia="Times New Roman" w:hAnsi="Times New Roman" w:cs="Times New Roman"/>
          <w:szCs w:val="20"/>
        </w:rPr>
        <w:t xml:space="preserve">in line with the project’s Stakeholder Engagement Plan (SEP), including the disclosure of </w:t>
      </w:r>
      <w:r w:rsidR="00916B2C" w:rsidRPr="007D7061">
        <w:rPr>
          <w:rFonts w:ascii="Times New Roman" w:eastAsia="Times New Roman" w:hAnsi="Times New Roman" w:cs="Times New Roman"/>
          <w:szCs w:val="20"/>
        </w:rPr>
        <w:t>project</w:t>
      </w:r>
      <w:r w:rsidR="00346BD8" w:rsidRPr="007D7061">
        <w:rPr>
          <w:rFonts w:ascii="Times New Roman" w:eastAsia="Times New Roman" w:hAnsi="Times New Roman" w:cs="Times New Roman"/>
          <w:szCs w:val="20"/>
        </w:rPr>
        <w:t xml:space="preserve"> documentation</w:t>
      </w:r>
    </w:p>
    <w:p w14:paraId="72682FF4" w14:textId="15F413F5" w:rsidR="0046266A" w:rsidRPr="007D7061" w:rsidRDefault="000D0775" w:rsidP="001C31EB">
      <w:pPr>
        <w:pStyle w:val="ListParagraph"/>
        <w:numPr>
          <w:ilvl w:val="0"/>
          <w:numId w:val="28"/>
        </w:numPr>
        <w:spacing w:after="0"/>
        <w:jc w:val="both"/>
        <w:rPr>
          <w:rFonts w:ascii="Times New Roman" w:eastAsia="Times New Roman" w:hAnsi="Times New Roman" w:cs="Times New Roman"/>
          <w:szCs w:val="20"/>
        </w:rPr>
      </w:pPr>
      <w:r w:rsidRPr="007D7061">
        <w:rPr>
          <w:rFonts w:ascii="Times New Roman" w:eastAsia="Times New Roman" w:hAnsi="Times New Roman" w:cs="Times New Roman"/>
          <w:szCs w:val="20"/>
        </w:rPr>
        <w:t>Provide documentation of the relevant consultation records during the implementation period.</w:t>
      </w:r>
    </w:p>
    <w:p w14:paraId="51724618" w14:textId="77777777" w:rsidR="00086D3D" w:rsidRPr="007D7061" w:rsidRDefault="00086D3D" w:rsidP="00086D3D">
      <w:pPr>
        <w:numPr>
          <w:ilvl w:val="0"/>
          <w:numId w:val="28"/>
        </w:numPr>
        <w:contextualSpacing/>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Establish, publicize, maintain, and operate an accessible grievance mechanism (GM), to receive and facilitate resolution of concerns and grievances in relation to the Project in a manner consistent with WB E&amp;S requirements. </w:t>
      </w:r>
    </w:p>
    <w:p w14:paraId="3A40ED5B" w14:textId="13446682" w:rsidR="00681AB6" w:rsidRPr="007D7061" w:rsidRDefault="00204EB2" w:rsidP="00A94256">
      <w:pPr>
        <w:pStyle w:val="ListParagraph"/>
        <w:numPr>
          <w:ilvl w:val="0"/>
          <w:numId w:val="28"/>
        </w:numPr>
        <w:jc w:val="both"/>
      </w:pPr>
      <w:r w:rsidRPr="007D7061">
        <w:rPr>
          <w:rFonts w:ascii="Times New Roman" w:eastAsia="Times New Roman" w:hAnsi="Times New Roman" w:cs="Times New Roman"/>
          <w:szCs w:val="20"/>
        </w:rPr>
        <w:t xml:space="preserve">Update E&amp;S instruments and E&amp;S procedures outlined in the POM </w:t>
      </w:r>
      <w:r w:rsidR="00086D3D" w:rsidRPr="007D7061">
        <w:rPr>
          <w:rFonts w:ascii="Times New Roman" w:eastAsia="Times New Roman" w:hAnsi="Times New Roman" w:cs="Times New Roman"/>
          <w:szCs w:val="20"/>
        </w:rPr>
        <w:t>when</w:t>
      </w:r>
      <w:r w:rsidRPr="007D7061">
        <w:rPr>
          <w:rFonts w:ascii="Times New Roman" w:eastAsia="Times New Roman" w:hAnsi="Times New Roman" w:cs="Times New Roman"/>
          <w:szCs w:val="20"/>
        </w:rPr>
        <w:t xml:space="preserve"> necessary</w:t>
      </w:r>
    </w:p>
    <w:p w14:paraId="5170CFFB" w14:textId="421D34E9" w:rsidR="0046266A" w:rsidRPr="007D7061" w:rsidRDefault="0046266A" w:rsidP="0046266A">
      <w:pPr>
        <w:pStyle w:val="ListParagraph"/>
        <w:numPr>
          <w:ilvl w:val="0"/>
          <w:numId w:val="28"/>
        </w:numPr>
        <w:jc w:val="both"/>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In the event of the Contingency, Emergency Response Component (CERC) funding is activated, assist the PMU in </w:t>
      </w:r>
      <w:r w:rsidR="008A503C" w:rsidRPr="007D7061">
        <w:rPr>
          <w:rFonts w:ascii="Times New Roman" w:eastAsia="Times New Roman" w:hAnsi="Times New Roman" w:cs="Times New Roman"/>
          <w:szCs w:val="20"/>
        </w:rPr>
        <w:t xml:space="preserve">undertaking </w:t>
      </w:r>
      <w:r w:rsidR="00916B2C" w:rsidRPr="007D7061">
        <w:rPr>
          <w:rFonts w:ascii="Times New Roman" w:eastAsia="Times New Roman" w:hAnsi="Times New Roman" w:cs="Times New Roman"/>
          <w:szCs w:val="20"/>
        </w:rPr>
        <w:t xml:space="preserve">E&amp;S </w:t>
      </w:r>
      <w:r w:rsidRPr="007D7061">
        <w:rPr>
          <w:rFonts w:ascii="Times New Roman" w:eastAsia="Times New Roman" w:hAnsi="Times New Roman" w:cs="Times New Roman"/>
          <w:szCs w:val="20"/>
        </w:rPr>
        <w:t>requirements</w:t>
      </w:r>
      <w:r w:rsidR="008A503C" w:rsidRPr="007D7061">
        <w:rPr>
          <w:rFonts w:ascii="Times New Roman" w:eastAsia="Times New Roman" w:hAnsi="Times New Roman" w:cs="Times New Roman"/>
          <w:szCs w:val="20"/>
        </w:rPr>
        <w:t xml:space="preserve"> including </w:t>
      </w:r>
      <w:r w:rsidRPr="007D7061">
        <w:rPr>
          <w:rFonts w:ascii="Times New Roman" w:eastAsia="Times New Roman" w:hAnsi="Times New Roman" w:cs="Times New Roman"/>
          <w:szCs w:val="20"/>
        </w:rPr>
        <w:t>prepar</w:t>
      </w:r>
      <w:r w:rsidR="008A503C" w:rsidRPr="007D7061">
        <w:rPr>
          <w:rFonts w:ascii="Times New Roman" w:eastAsia="Times New Roman" w:hAnsi="Times New Roman" w:cs="Times New Roman"/>
          <w:szCs w:val="20"/>
        </w:rPr>
        <w:t xml:space="preserve">ing E&amp;S </w:t>
      </w:r>
      <w:r w:rsidRPr="007D7061">
        <w:rPr>
          <w:rFonts w:ascii="Times New Roman" w:eastAsia="Times New Roman" w:hAnsi="Times New Roman" w:cs="Times New Roman"/>
          <w:szCs w:val="20"/>
        </w:rPr>
        <w:t>any instruments</w:t>
      </w:r>
      <w:r w:rsidR="00BA3F0F" w:rsidRPr="007D7061">
        <w:rPr>
          <w:rFonts w:ascii="Times New Roman" w:eastAsia="Times New Roman" w:hAnsi="Times New Roman" w:cs="Times New Roman"/>
          <w:szCs w:val="20"/>
        </w:rPr>
        <w:t>,</w:t>
      </w:r>
      <w:r w:rsidR="00916B2C" w:rsidRPr="007D7061">
        <w:rPr>
          <w:rFonts w:ascii="Times New Roman" w:eastAsia="Times New Roman" w:hAnsi="Times New Roman" w:cs="Times New Roman"/>
          <w:szCs w:val="20"/>
        </w:rPr>
        <w:t xml:space="preserve"> in line with the ESCP</w:t>
      </w:r>
    </w:p>
    <w:p w14:paraId="519AD5EE" w14:textId="77777777" w:rsidR="00F964DC" w:rsidRPr="007D7061" w:rsidRDefault="00856039" w:rsidP="004B634A">
      <w:pPr>
        <w:pStyle w:val="ListParagraph"/>
        <w:numPr>
          <w:ilvl w:val="0"/>
          <w:numId w:val="28"/>
        </w:numPr>
        <w:jc w:val="both"/>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Prepare 6-monthly monitoring reports to the World Bank on the ESHS performance of the Project, </w:t>
      </w:r>
      <w:r w:rsidR="00492C14" w:rsidRPr="007D7061">
        <w:rPr>
          <w:rFonts w:ascii="Times New Roman" w:eastAsia="Times New Roman" w:hAnsi="Times New Roman" w:cs="Times New Roman"/>
          <w:szCs w:val="20"/>
        </w:rPr>
        <w:t>in line with the ESCP</w:t>
      </w:r>
      <w:r w:rsidR="00757697" w:rsidRPr="007D7061">
        <w:rPr>
          <w:rFonts w:ascii="Times New Roman" w:eastAsia="Times New Roman" w:hAnsi="Times New Roman" w:cs="Times New Roman"/>
          <w:szCs w:val="20"/>
        </w:rPr>
        <w:t xml:space="preserve">, and provide </w:t>
      </w:r>
      <w:r w:rsidR="000D0775" w:rsidRPr="007D7061">
        <w:rPr>
          <w:rFonts w:ascii="Times New Roman" w:eastAsia="Times New Roman" w:hAnsi="Times New Roman" w:cs="Times New Roman"/>
          <w:szCs w:val="20"/>
        </w:rPr>
        <w:t>updates on E&amp;S risk management for inclusion in the monthly and annual progress report</w:t>
      </w:r>
    </w:p>
    <w:p w14:paraId="3B8A4196" w14:textId="75C13780" w:rsidR="0092593B" w:rsidRPr="007D7061" w:rsidRDefault="0092593B" w:rsidP="0092593B">
      <w:pPr>
        <w:pStyle w:val="ListParagraph"/>
        <w:numPr>
          <w:ilvl w:val="0"/>
          <w:numId w:val="28"/>
        </w:numPr>
        <w:jc w:val="both"/>
        <w:rPr>
          <w:rFonts w:ascii="Times New Roman" w:eastAsia="Times New Roman" w:hAnsi="Times New Roman" w:cs="Times New Roman"/>
          <w:szCs w:val="20"/>
        </w:rPr>
      </w:pPr>
      <w:bookmarkStart w:id="13" w:name="_Hlk171285020"/>
      <w:r w:rsidRPr="007D7061">
        <w:rPr>
          <w:rFonts w:ascii="Times New Roman" w:eastAsia="Times New Roman" w:hAnsi="Times New Roman" w:cs="Times New Roman"/>
          <w:szCs w:val="20"/>
        </w:rPr>
        <w:t>Provide updates and reports during World Bank Missions</w:t>
      </w:r>
      <w:r w:rsidR="007C2EFE" w:rsidRPr="007D7061">
        <w:rPr>
          <w:rFonts w:ascii="Times New Roman" w:eastAsia="Times New Roman" w:hAnsi="Times New Roman" w:cs="Times New Roman"/>
          <w:szCs w:val="20"/>
        </w:rPr>
        <w:t>, PSC</w:t>
      </w:r>
      <w:r w:rsidRPr="007D7061">
        <w:rPr>
          <w:rFonts w:ascii="Times New Roman" w:eastAsia="Times New Roman" w:hAnsi="Times New Roman" w:cs="Times New Roman"/>
          <w:szCs w:val="20"/>
        </w:rPr>
        <w:t xml:space="preserve"> and</w:t>
      </w:r>
      <w:r w:rsidR="007C2EFE" w:rsidRPr="007D7061">
        <w:rPr>
          <w:rFonts w:ascii="Times New Roman" w:eastAsia="Times New Roman" w:hAnsi="Times New Roman" w:cs="Times New Roman"/>
          <w:szCs w:val="20"/>
        </w:rPr>
        <w:t xml:space="preserve"> other</w:t>
      </w:r>
      <w:r w:rsidRPr="007D7061">
        <w:rPr>
          <w:rFonts w:ascii="Times New Roman" w:eastAsia="Times New Roman" w:hAnsi="Times New Roman" w:cs="Times New Roman"/>
          <w:szCs w:val="20"/>
        </w:rPr>
        <w:t xml:space="preserve"> project meetings</w:t>
      </w:r>
    </w:p>
    <w:p w14:paraId="799EFDDE" w14:textId="604C47EA" w:rsidR="0092593B" w:rsidRPr="007D7061" w:rsidRDefault="0092593B" w:rsidP="0092593B">
      <w:pPr>
        <w:pStyle w:val="ListParagraph"/>
        <w:numPr>
          <w:ilvl w:val="0"/>
          <w:numId w:val="28"/>
        </w:numPr>
        <w:jc w:val="both"/>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Report on environmental, social, health and safety (ESHS) incidents </w:t>
      </w:r>
      <w:r w:rsidR="00F07619" w:rsidRPr="007D7061">
        <w:rPr>
          <w:rFonts w:ascii="Times New Roman" w:eastAsia="Times New Roman" w:hAnsi="Times New Roman" w:cs="Times New Roman"/>
          <w:szCs w:val="20"/>
        </w:rPr>
        <w:t xml:space="preserve">in line with the ESCP </w:t>
      </w:r>
    </w:p>
    <w:p w14:paraId="37DFEBC1" w14:textId="56F47F52" w:rsidR="00086D3D" w:rsidRPr="007D7061" w:rsidRDefault="00086D3D" w:rsidP="00086D3D">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t>Monitor project activities and address non-compliances and develop and provide guidance to the implementation of corrective actions.</w:t>
      </w:r>
    </w:p>
    <w:p w14:paraId="3D25F9B2" w14:textId="77777777" w:rsidR="00086D3D" w:rsidRPr="007D7061" w:rsidRDefault="00086D3D" w:rsidP="00086D3D">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t>Provide advice to the PMU on key environmental and social issues and aspects of the Project in a timely manner.</w:t>
      </w:r>
    </w:p>
    <w:p w14:paraId="74E8F641" w14:textId="77777777" w:rsidR="00086D3D" w:rsidRPr="007D7061" w:rsidRDefault="00086D3D" w:rsidP="00086D3D">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Help coordinate and manage relevant training of project consultants and contractors as needed.  </w:t>
      </w:r>
    </w:p>
    <w:p w14:paraId="6349F27C" w14:textId="77777777" w:rsidR="00086D3D" w:rsidRPr="007D7061" w:rsidRDefault="00086D3D" w:rsidP="00086D3D">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t>Participate in Project Steering Committee meetings; semi-annual Project Supervision, mid-term review and completion missions; representing the Ministry on social safety aspects.</w:t>
      </w:r>
    </w:p>
    <w:p w14:paraId="0F2803E5" w14:textId="77777777" w:rsidR="00086D3D" w:rsidRPr="007D7061" w:rsidRDefault="00086D3D" w:rsidP="00086D3D">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t xml:space="preserve">Attend and support coordination of World Bank missions, donor coordination meetings, WB </w:t>
      </w:r>
      <w:proofErr w:type="gramStart"/>
      <w:r w:rsidRPr="007D7061">
        <w:rPr>
          <w:rFonts w:ascii="Times New Roman" w:eastAsia="Times New Roman" w:hAnsi="Times New Roman" w:cs="Times New Roman"/>
          <w:szCs w:val="20"/>
        </w:rPr>
        <w:t>trainings</w:t>
      </w:r>
      <w:proofErr w:type="gramEnd"/>
      <w:r w:rsidRPr="007D7061">
        <w:rPr>
          <w:rFonts w:ascii="Times New Roman" w:eastAsia="Times New Roman" w:hAnsi="Times New Roman" w:cs="Times New Roman"/>
          <w:szCs w:val="20"/>
        </w:rPr>
        <w:t xml:space="preserve">, field trips, meetings etc. as required. </w:t>
      </w:r>
    </w:p>
    <w:p w14:paraId="53EE75D0" w14:textId="26F09573" w:rsidR="00086D3D" w:rsidRPr="007D7061" w:rsidRDefault="00086D3D" w:rsidP="001C31EB">
      <w:pPr>
        <w:numPr>
          <w:ilvl w:val="0"/>
          <w:numId w:val="28"/>
        </w:numPr>
        <w:spacing w:after="120" w:line="240" w:lineRule="auto"/>
        <w:jc w:val="both"/>
        <w:rPr>
          <w:rFonts w:ascii="Times New Roman" w:eastAsia="Times New Roman" w:hAnsi="Times New Roman" w:cs="Times New Roman"/>
          <w:szCs w:val="20"/>
        </w:rPr>
      </w:pPr>
      <w:r w:rsidRPr="007D7061">
        <w:rPr>
          <w:rFonts w:ascii="Times New Roman" w:eastAsia="Times New Roman" w:hAnsi="Times New Roman" w:cs="Times New Roman"/>
          <w:szCs w:val="20"/>
        </w:rPr>
        <w:lastRenderedPageBreak/>
        <w:t>Assist with other ESHS related activities as required.</w:t>
      </w:r>
    </w:p>
    <w:p w14:paraId="26912277" w14:textId="7CC54D85" w:rsidR="001048F1" w:rsidRPr="007D7061" w:rsidRDefault="001048F1" w:rsidP="00462F06">
      <w:pPr>
        <w:pStyle w:val="ListParagraph"/>
        <w:numPr>
          <w:ilvl w:val="0"/>
          <w:numId w:val="28"/>
        </w:numPr>
        <w:jc w:val="both"/>
        <w:rPr>
          <w:rFonts w:ascii="Times New Roman" w:eastAsia="Times New Roman" w:hAnsi="Times New Roman" w:cs="Times New Roman"/>
          <w:szCs w:val="20"/>
        </w:rPr>
      </w:pPr>
      <w:r w:rsidRPr="007D7061">
        <w:rPr>
          <w:rFonts w:ascii="Times New Roman" w:eastAsia="Times New Roman" w:hAnsi="Times New Roman" w:cs="Times New Roman"/>
          <w:szCs w:val="20"/>
        </w:rPr>
        <w:t>Liaise and coordinate with the CSU E&amp;S Specialist in the completion of E&amp;S requirements</w:t>
      </w:r>
      <w:r w:rsidR="00BB2002" w:rsidRPr="007D7061">
        <w:rPr>
          <w:rFonts w:ascii="Times New Roman" w:eastAsia="Times New Roman" w:hAnsi="Times New Roman" w:cs="Times New Roman"/>
          <w:szCs w:val="20"/>
        </w:rPr>
        <w:t>.</w:t>
      </w:r>
    </w:p>
    <w:bookmarkEnd w:id="12"/>
    <w:p w14:paraId="63E6130E" w14:textId="77777777" w:rsidR="007C783C" w:rsidRPr="007D7061" w:rsidRDefault="007C783C" w:rsidP="001C31EB">
      <w:pPr>
        <w:pStyle w:val="ListParagraph"/>
        <w:jc w:val="both"/>
        <w:rPr>
          <w:rFonts w:ascii="Times New Roman" w:eastAsia="Times New Roman" w:hAnsi="Times New Roman" w:cs="Times New Roman"/>
          <w:szCs w:val="20"/>
        </w:rPr>
      </w:pPr>
    </w:p>
    <w:p w14:paraId="299207E2" w14:textId="575AF724" w:rsidR="001042CB" w:rsidRPr="007D7061" w:rsidRDefault="007C783C" w:rsidP="001042CB">
      <w:pPr>
        <w:pStyle w:val="ListParagraph"/>
        <w:numPr>
          <w:ilvl w:val="0"/>
          <w:numId w:val="1"/>
        </w:numPr>
        <w:jc w:val="both"/>
        <w:rPr>
          <w:rFonts w:ascii="Times New Roman" w:hAnsi="Times New Roman" w:cs="Times New Roman"/>
          <w:b/>
          <w:i/>
          <w:u w:val="single"/>
        </w:rPr>
      </w:pPr>
      <w:r w:rsidRPr="007D7061">
        <w:rPr>
          <w:rFonts w:ascii="Times New Roman" w:hAnsi="Times New Roman" w:cs="Times New Roman"/>
          <w:b/>
          <w:i/>
          <w:u w:val="single"/>
        </w:rPr>
        <w:t>Key Reporting Obligations and Key Deliverables:</w:t>
      </w:r>
    </w:p>
    <w:tbl>
      <w:tblPr>
        <w:tblStyle w:val="TableGrid"/>
        <w:tblW w:w="0" w:type="auto"/>
        <w:tblInd w:w="720" w:type="dxa"/>
        <w:tblLook w:val="04A0" w:firstRow="1" w:lastRow="0" w:firstColumn="1" w:lastColumn="0" w:noHBand="0" w:noVBand="1"/>
      </w:tblPr>
      <w:tblGrid>
        <w:gridCol w:w="5938"/>
        <w:gridCol w:w="2692"/>
      </w:tblGrid>
      <w:tr w:rsidR="00B70230" w:rsidRPr="007D7061" w14:paraId="0D1D1E87" w14:textId="77777777" w:rsidTr="0007120C">
        <w:tc>
          <w:tcPr>
            <w:tcW w:w="5938" w:type="dxa"/>
            <w:shd w:val="clear" w:color="auto" w:fill="D9D9D9" w:themeFill="background1" w:themeFillShade="D9"/>
          </w:tcPr>
          <w:p w14:paraId="0E349A95" w14:textId="76C376A5" w:rsidR="00B70230" w:rsidRPr="007D7061" w:rsidRDefault="00B70230" w:rsidP="00B70230">
            <w:pPr>
              <w:pStyle w:val="ListParagraph"/>
              <w:ind w:left="0"/>
              <w:jc w:val="both"/>
              <w:rPr>
                <w:rFonts w:ascii="Times New Roman" w:eastAsia="Times New Roman" w:hAnsi="Times New Roman"/>
                <w:szCs w:val="20"/>
              </w:rPr>
            </w:pPr>
            <w:bookmarkStart w:id="14" w:name="_Hlk177381542"/>
            <w:r w:rsidRPr="007D7061">
              <w:rPr>
                <w:rFonts w:ascii="Times New Roman" w:hAnsi="Times New Roman"/>
                <w:b/>
                <w:bCs/>
              </w:rPr>
              <w:t>Key Outputs</w:t>
            </w:r>
          </w:p>
        </w:tc>
        <w:tc>
          <w:tcPr>
            <w:tcW w:w="2692" w:type="dxa"/>
            <w:shd w:val="clear" w:color="auto" w:fill="D9D9D9" w:themeFill="background1" w:themeFillShade="D9"/>
          </w:tcPr>
          <w:p w14:paraId="131AFB08" w14:textId="116A8A29" w:rsidR="00B70230" w:rsidRPr="007D7061" w:rsidRDefault="00B70230" w:rsidP="00B70230">
            <w:pPr>
              <w:pStyle w:val="ListParagraph"/>
              <w:ind w:left="0"/>
              <w:jc w:val="both"/>
              <w:rPr>
                <w:rFonts w:ascii="Times New Roman" w:eastAsia="Times New Roman" w:hAnsi="Times New Roman"/>
                <w:szCs w:val="20"/>
              </w:rPr>
            </w:pPr>
            <w:r w:rsidRPr="007D7061">
              <w:rPr>
                <w:rFonts w:ascii="Times New Roman" w:hAnsi="Times New Roman"/>
                <w:b/>
                <w:bCs/>
              </w:rPr>
              <w:t>Timeline</w:t>
            </w:r>
          </w:p>
        </w:tc>
      </w:tr>
      <w:tr w:rsidR="00B70230" w:rsidRPr="007D7061" w14:paraId="1A976F41" w14:textId="77777777" w:rsidTr="00B70230">
        <w:tc>
          <w:tcPr>
            <w:tcW w:w="5938" w:type="dxa"/>
          </w:tcPr>
          <w:p w14:paraId="3128D27F" w14:textId="5D24EC58" w:rsidR="00B70230" w:rsidRPr="007D7061" w:rsidRDefault="00B70230" w:rsidP="00A139B9">
            <w:pPr>
              <w:pStyle w:val="NoSpacing"/>
              <w:rPr>
                <w:rFonts w:eastAsia="Times New Roman"/>
                <w:sz w:val="22"/>
                <w:szCs w:val="22"/>
              </w:rPr>
            </w:pPr>
            <w:r w:rsidRPr="007D7061">
              <w:rPr>
                <w:sz w:val="22"/>
                <w:szCs w:val="22"/>
              </w:rPr>
              <w:t xml:space="preserve">Provide </w:t>
            </w:r>
            <w:proofErr w:type="gramStart"/>
            <w:r w:rsidRPr="007D7061">
              <w:rPr>
                <w:sz w:val="22"/>
                <w:szCs w:val="22"/>
              </w:rPr>
              <w:t>inputs</w:t>
            </w:r>
            <w:proofErr w:type="gramEnd"/>
            <w:r w:rsidRPr="007D7061">
              <w:rPr>
                <w:sz w:val="22"/>
                <w:szCs w:val="22"/>
              </w:rPr>
              <w:t xml:space="preserve"> </w:t>
            </w:r>
            <w:r w:rsidR="001F0645" w:rsidRPr="007D7061">
              <w:rPr>
                <w:sz w:val="22"/>
                <w:szCs w:val="22"/>
              </w:rPr>
              <w:t>into monthly</w:t>
            </w:r>
            <w:r w:rsidRPr="007D7061">
              <w:rPr>
                <w:sz w:val="22"/>
                <w:szCs w:val="22"/>
              </w:rPr>
              <w:t xml:space="preserve"> reports on environmental, social, health and safety (ESHS)</w:t>
            </w:r>
            <w:r w:rsidR="007C783C" w:rsidRPr="007D7061">
              <w:rPr>
                <w:sz w:val="22"/>
                <w:szCs w:val="22"/>
              </w:rPr>
              <w:t xml:space="preserve"> and ESCP implementation to stakeholders.</w:t>
            </w:r>
          </w:p>
        </w:tc>
        <w:tc>
          <w:tcPr>
            <w:tcW w:w="2692" w:type="dxa"/>
          </w:tcPr>
          <w:p w14:paraId="0620277C" w14:textId="4E340EF3" w:rsidR="00B70230" w:rsidRPr="007D7061" w:rsidRDefault="0007120C" w:rsidP="00A139B9">
            <w:pPr>
              <w:pStyle w:val="NoSpacing"/>
              <w:rPr>
                <w:rFonts w:eastAsia="Times New Roman"/>
                <w:sz w:val="22"/>
                <w:szCs w:val="22"/>
              </w:rPr>
            </w:pPr>
            <w:r w:rsidRPr="007D7061">
              <w:rPr>
                <w:sz w:val="22"/>
                <w:szCs w:val="22"/>
              </w:rPr>
              <w:t>Monthly</w:t>
            </w:r>
          </w:p>
        </w:tc>
      </w:tr>
      <w:tr w:rsidR="0007120C" w:rsidRPr="007D7061" w14:paraId="70D751A8" w14:textId="77777777" w:rsidTr="00B70230">
        <w:tc>
          <w:tcPr>
            <w:tcW w:w="5938" w:type="dxa"/>
          </w:tcPr>
          <w:p w14:paraId="3E93D4B9" w14:textId="5CF1161C" w:rsidR="0007120C" w:rsidRPr="007D7061" w:rsidRDefault="0007120C" w:rsidP="00A139B9">
            <w:pPr>
              <w:pStyle w:val="NoSpacing"/>
              <w:rPr>
                <w:rFonts w:eastAsia="Times New Roman"/>
                <w:sz w:val="22"/>
                <w:szCs w:val="22"/>
              </w:rPr>
            </w:pPr>
            <w:r w:rsidRPr="007D7061">
              <w:rPr>
                <w:sz w:val="22"/>
                <w:szCs w:val="22"/>
              </w:rPr>
              <w:t>Provide updates and reports during World Bank Missions and project meetings.</w:t>
            </w:r>
          </w:p>
        </w:tc>
        <w:tc>
          <w:tcPr>
            <w:tcW w:w="2692" w:type="dxa"/>
          </w:tcPr>
          <w:p w14:paraId="48549B51" w14:textId="27EA0A76" w:rsidR="0007120C" w:rsidRPr="007D7061" w:rsidRDefault="0007120C" w:rsidP="00A139B9">
            <w:pPr>
              <w:pStyle w:val="NoSpacing"/>
              <w:rPr>
                <w:rFonts w:eastAsia="Times New Roman"/>
                <w:sz w:val="22"/>
                <w:szCs w:val="22"/>
              </w:rPr>
            </w:pPr>
            <w:r w:rsidRPr="007D7061">
              <w:rPr>
                <w:sz w:val="22"/>
                <w:szCs w:val="22"/>
              </w:rPr>
              <w:t>During World Bank Mission/ When required</w:t>
            </w:r>
          </w:p>
        </w:tc>
      </w:tr>
      <w:tr w:rsidR="0007120C" w:rsidRPr="007D7061" w14:paraId="377F2745" w14:textId="77777777" w:rsidTr="00B70230">
        <w:tc>
          <w:tcPr>
            <w:tcW w:w="5938" w:type="dxa"/>
          </w:tcPr>
          <w:p w14:paraId="717042ED" w14:textId="77777777" w:rsidR="0007120C" w:rsidRPr="007D7061" w:rsidRDefault="0007120C" w:rsidP="00A139B9">
            <w:pPr>
              <w:pStyle w:val="NoSpacing"/>
              <w:rPr>
                <w:sz w:val="22"/>
                <w:szCs w:val="22"/>
              </w:rPr>
            </w:pPr>
            <w:r w:rsidRPr="007D7061">
              <w:rPr>
                <w:sz w:val="22"/>
                <w:szCs w:val="22"/>
              </w:rPr>
              <w:t>Report on environmental, social, occupational, health and safety (ESHS) incidents and respond to incidents in line with the ESCP</w:t>
            </w:r>
          </w:p>
          <w:p w14:paraId="302DA763" w14:textId="77777777" w:rsidR="00AF1C1D" w:rsidRPr="007D7061" w:rsidRDefault="00AF1C1D" w:rsidP="00A139B9">
            <w:pPr>
              <w:pStyle w:val="NoSpacing"/>
              <w:rPr>
                <w:sz w:val="22"/>
                <w:szCs w:val="22"/>
              </w:rPr>
            </w:pPr>
            <w:r w:rsidRPr="007D7061">
              <w:rPr>
                <w:sz w:val="22"/>
                <w:szCs w:val="22"/>
              </w:rPr>
              <w:t>Prepare and submit to WB the notification report of any incident or accident relating to the Project.</w:t>
            </w:r>
          </w:p>
          <w:p w14:paraId="0F649511" w14:textId="64BC4F5B" w:rsidR="00AF1C1D" w:rsidRPr="007D7061" w:rsidRDefault="00AF1C1D" w:rsidP="00A139B9">
            <w:pPr>
              <w:pStyle w:val="NoSpacing"/>
              <w:rPr>
                <w:rFonts w:eastAsia="Times New Roman"/>
                <w:sz w:val="22"/>
                <w:szCs w:val="22"/>
              </w:rPr>
            </w:pPr>
            <w:r w:rsidRPr="007D7061">
              <w:rPr>
                <w:sz w:val="22"/>
                <w:szCs w:val="22"/>
              </w:rPr>
              <w:t>Arrange for an appropriate review of the incident or accident to establish its immediate, underlying and root causes. Prepare, agree with WB and implement a Corrective Action Plan that sets out the measures and actions to be taken to address the incident or accident and prevent its recurrence.</w:t>
            </w:r>
          </w:p>
        </w:tc>
        <w:tc>
          <w:tcPr>
            <w:tcW w:w="2692" w:type="dxa"/>
          </w:tcPr>
          <w:p w14:paraId="20B76A8B" w14:textId="19E4A62A" w:rsidR="0007120C" w:rsidRPr="007D7061" w:rsidRDefault="0007120C" w:rsidP="00A139B9">
            <w:pPr>
              <w:pStyle w:val="NoSpacing"/>
              <w:rPr>
                <w:rFonts w:eastAsia="Times New Roman"/>
                <w:sz w:val="22"/>
                <w:szCs w:val="22"/>
              </w:rPr>
            </w:pPr>
            <w:r w:rsidRPr="007D7061">
              <w:rPr>
                <w:sz w:val="22"/>
                <w:szCs w:val="22"/>
              </w:rPr>
              <w:t>When incident occurs, line with the ESCP</w:t>
            </w:r>
          </w:p>
        </w:tc>
      </w:tr>
      <w:tr w:rsidR="0007120C" w:rsidRPr="007D7061" w14:paraId="193C74BF" w14:textId="77777777" w:rsidTr="00A139B9">
        <w:trPr>
          <w:trHeight w:val="335"/>
        </w:trPr>
        <w:tc>
          <w:tcPr>
            <w:tcW w:w="5938" w:type="dxa"/>
          </w:tcPr>
          <w:p w14:paraId="24125491" w14:textId="57C7F8DE" w:rsidR="0007120C" w:rsidRPr="007D7061" w:rsidRDefault="0007120C" w:rsidP="00A139B9">
            <w:pPr>
              <w:pStyle w:val="NoSpacing"/>
              <w:rPr>
                <w:rFonts w:eastAsia="Times New Roman"/>
                <w:sz w:val="22"/>
                <w:szCs w:val="22"/>
              </w:rPr>
            </w:pPr>
            <w:r w:rsidRPr="007D7061">
              <w:rPr>
                <w:sz w:val="22"/>
                <w:szCs w:val="22"/>
              </w:rPr>
              <w:t>Coordinate with PMU to enable efficient, compliant, and timely delivery of the World Bank ESF requirements.</w:t>
            </w:r>
          </w:p>
        </w:tc>
        <w:tc>
          <w:tcPr>
            <w:tcW w:w="2692" w:type="dxa"/>
          </w:tcPr>
          <w:p w14:paraId="6E42F1A0" w14:textId="1212BC5D" w:rsidR="0007120C" w:rsidRPr="007D7061" w:rsidRDefault="0007120C" w:rsidP="00A139B9">
            <w:pPr>
              <w:pStyle w:val="NoSpacing"/>
              <w:rPr>
                <w:rFonts w:eastAsia="Times New Roman"/>
                <w:sz w:val="22"/>
                <w:szCs w:val="22"/>
              </w:rPr>
            </w:pPr>
            <w:r w:rsidRPr="007D7061">
              <w:rPr>
                <w:sz w:val="22"/>
                <w:szCs w:val="22"/>
              </w:rPr>
              <w:t>Throughout project implementation</w:t>
            </w:r>
          </w:p>
        </w:tc>
      </w:tr>
      <w:tr w:rsidR="0007120C" w:rsidRPr="007D7061" w14:paraId="1BA09C0D" w14:textId="77777777" w:rsidTr="00B70230">
        <w:tc>
          <w:tcPr>
            <w:tcW w:w="5938" w:type="dxa"/>
          </w:tcPr>
          <w:p w14:paraId="72DE7B41" w14:textId="77777777" w:rsidR="00AF1C1D" w:rsidRPr="007D7061" w:rsidRDefault="007C783C" w:rsidP="00A139B9">
            <w:pPr>
              <w:pStyle w:val="NoSpacing"/>
              <w:rPr>
                <w:sz w:val="22"/>
                <w:szCs w:val="22"/>
              </w:rPr>
            </w:pPr>
            <w:r w:rsidRPr="007D7061">
              <w:rPr>
                <w:sz w:val="22"/>
                <w:szCs w:val="22"/>
              </w:rPr>
              <w:t>Prepare</w:t>
            </w:r>
            <w:r w:rsidR="00AF1C1D" w:rsidRPr="007D7061">
              <w:rPr>
                <w:sz w:val="22"/>
                <w:szCs w:val="22"/>
              </w:rPr>
              <w:t xml:space="preserve"> and submit six monthly</w:t>
            </w:r>
            <w:r w:rsidRPr="007D7061">
              <w:rPr>
                <w:sz w:val="22"/>
                <w:szCs w:val="22"/>
              </w:rPr>
              <w:t xml:space="preserve"> regular monitoring reports on the environmental, social, health and safety (ESHS) performance of the Project</w:t>
            </w:r>
            <w:r w:rsidR="00AF1C1D" w:rsidRPr="007D7061">
              <w:rPr>
                <w:sz w:val="22"/>
                <w:szCs w:val="22"/>
              </w:rPr>
              <w:t>. The reports shall include:</w:t>
            </w:r>
          </w:p>
          <w:p w14:paraId="49F56CDC" w14:textId="77777777" w:rsidR="00AF1C1D" w:rsidRPr="007D7061" w:rsidRDefault="00AF1C1D" w:rsidP="00AF1C1D">
            <w:pPr>
              <w:pStyle w:val="NoSpacing"/>
              <w:numPr>
                <w:ilvl w:val="0"/>
                <w:numId w:val="37"/>
              </w:numPr>
              <w:rPr>
                <w:rFonts w:eastAsia="Times New Roman"/>
                <w:sz w:val="22"/>
                <w:szCs w:val="22"/>
              </w:rPr>
            </w:pPr>
            <w:r w:rsidRPr="007D7061">
              <w:rPr>
                <w:sz w:val="22"/>
                <w:szCs w:val="22"/>
              </w:rPr>
              <w:t>Status of preparation and</w:t>
            </w:r>
            <w:r w:rsidR="007C783C" w:rsidRPr="007D7061">
              <w:rPr>
                <w:sz w:val="22"/>
                <w:szCs w:val="22"/>
              </w:rPr>
              <w:t xml:space="preserve"> implementation of the ESCP and E&amp;S instruments.</w:t>
            </w:r>
          </w:p>
          <w:p w14:paraId="6168C6AE" w14:textId="2899F571" w:rsidR="00AF1C1D" w:rsidRPr="007D7061" w:rsidRDefault="00AF1C1D" w:rsidP="00AF1C1D">
            <w:pPr>
              <w:pStyle w:val="NoSpacing"/>
              <w:numPr>
                <w:ilvl w:val="0"/>
                <w:numId w:val="37"/>
              </w:numPr>
              <w:rPr>
                <w:rFonts w:eastAsia="Times New Roman"/>
                <w:sz w:val="22"/>
                <w:szCs w:val="22"/>
              </w:rPr>
            </w:pPr>
            <w:r w:rsidRPr="007D7061">
              <w:rPr>
                <w:sz w:val="22"/>
                <w:szCs w:val="22"/>
              </w:rPr>
              <w:t>Summ</w:t>
            </w:r>
            <w:r w:rsidR="005F3E31" w:rsidRPr="007D7061">
              <w:rPr>
                <w:sz w:val="22"/>
                <w:szCs w:val="22"/>
              </w:rPr>
              <w:t>a</w:t>
            </w:r>
            <w:r w:rsidRPr="007D7061">
              <w:rPr>
                <w:sz w:val="22"/>
                <w:szCs w:val="22"/>
              </w:rPr>
              <w:t>ry of stakeholder engagement activities carried out.</w:t>
            </w:r>
          </w:p>
          <w:p w14:paraId="4916A8A9" w14:textId="68BA01CB" w:rsidR="00AF1C1D" w:rsidRPr="007D7061" w:rsidRDefault="00AF1C1D" w:rsidP="00AF1C1D">
            <w:pPr>
              <w:pStyle w:val="NoSpacing"/>
              <w:numPr>
                <w:ilvl w:val="0"/>
                <w:numId w:val="37"/>
              </w:numPr>
              <w:rPr>
                <w:rFonts w:eastAsia="Times New Roman"/>
                <w:sz w:val="22"/>
                <w:szCs w:val="22"/>
              </w:rPr>
            </w:pPr>
            <w:r w:rsidRPr="007D7061">
              <w:rPr>
                <w:sz w:val="22"/>
                <w:szCs w:val="22"/>
              </w:rPr>
              <w:t>Complaints submitted to the grievance mechanism, the grievance log, and progress made in resolving them.</w:t>
            </w:r>
          </w:p>
          <w:p w14:paraId="3B10A46D" w14:textId="224B6FB7" w:rsidR="00AF1C1D" w:rsidRPr="007D7061" w:rsidRDefault="00AF1C1D" w:rsidP="00AF1C1D">
            <w:pPr>
              <w:pStyle w:val="NoSpacing"/>
              <w:numPr>
                <w:ilvl w:val="0"/>
                <w:numId w:val="37"/>
              </w:numPr>
              <w:rPr>
                <w:rFonts w:eastAsia="Times New Roman"/>
                <w:sz w:val="22"/>
                <w:szCs w:val="22"/>
              </w:rPr>
            </w:pPr>
            <w:r w:rsidRPr="007D7061">
              <w:rPr>
                <w:sz w:val="22"/>
                <w:szCs w:val="22"/>
              </w:rPr>
              <w:t xml:space="preserve">E&amp;S performance of contractors </w:t>
            </w:r>
          </w:p>
          <w:p w14:paraId="4539F657" w14:textId="12B93C5D" w:rsidR="00AF1C1D" w:rsidRPr="007D7061" w:rsidRDefault="00AF1C1D" w:rsidP="00AF1C1D">
            <w:pPr>
              <w:pStyle w:val="NoSpacing"/>
              <w:numPr>
                <w:ilvl w:val="0"/>
                <w:numId w:val="37"/>
              </w:numPr>
              <w:rPr>
                <w:rFonts w:eastAsia="Times New Roman"/>
                <w:sz w:val="22"/>
                <w:szCs w:val="22"/>
              </w:rPr>
            </w:pPr>
            <w:r w:rsidRPr="007D7061">
              <w:rPr>
                <w:sz w:val="22"/>
                <w:szCs w:val="22"/>
              </w:rPr>
              <w:t xml:space="preserve">Number of </w:t>
            </w:r>
            <w:proofErr w:type="gramStart"/>
            <w:r w:rsidRPr="007D7061">
              <w:rPr>
                <w:sz w:val="22"/>
                <w:szCs w:val="22"/>
              </w:rPr>
              <w:t>trainings</w:t>
            </w:r>
            <w:proofErr w:type="gramEnd"/>
            <w:r w:rsidRPr="007D7061">
              <w:rPr>
                <w:sz w:val="22"/>
                <w:szCs w:val="22"/>
              </w:rPr>
              <w:t xml:space="preserve"> delivered</w:t>
            </w:r>
          </w:p>
          <w:p w14:paraId="0FCC368F" w14:textId="09676AF3" w:rsidR="00AF1C1D" w:rsidRPr="007D7061" w:rsidRDefault="00AF1C1D" w:rsidP="00AF1C1D">
            <w:pPr>
              <w:pStyle w:val="NoSpacing"/>
              <w:numPr>
                <w:ilvl w:val="0"/>
                <w:numId w:val="37"/>
              </w:numPr>
              <w:rPr>
                <w:rFonts w:eastAsia="Times New Roman"/>
                <w:sz w:val="22"/>
                <w:szCs w:val="22"/>
              </w:rPr>
            </w:pPr>
            <w:r w:rsidRPr="007D7061">
              <w:rPr>
                <w:sz w:val="22"/>
                <w:szCs w:val="22"/>
              </w:rPr>
              <w:t>Number and status of resolution of incidents and accidents reported.</w:t>
            </w:r>
          </w:p>
          <w:p w14:paraId="7B7933E9" w14:textId="0C6D950A" w:rsidR="00AF1C1D" w:rsidRPr="007D7061" w:rsidRDefault="00AF1C1D" w:rsidP="00AF1C1D">
            <w:pPr>
              <w:pStyle w:val="NoSpacing"/>
              <w:numPr>
                <w:ilvl w:val="0"/>
                <w:numId w:val="37"/>
              </w:numPr>
              <w:rPr>
                <w:rFonts w:eastAsia="Times New Roman"/>
                <w:sz w:val="22"/>
                <w:szCs w:val="22"/>
              </w:rPr>
            </w:pPr>
            <w:r w:rsidRPr="007D7061">
              <w:rPr>
                <w:sz w:val="22"/>
                <w:szCs w:val="22"/>
              </w:rPr>
              <w:t>Timebound action plan with assigned responsible persons for next six months of the project.</w:t>
            </w:r>
          </w:p>
          <w:p w14:paraId="212D42F8" w14:textId="60E42DF9" w:rsidR="0007120C" w:rsidRPr="007D7061" w:rsidRDefault="0007120C" w:rsidP="001C31EB">
            <w:pPr>
              <w:pStyle w:val="NoSpacing"/>
              <w:numPr>
                <w:ilvl w:val="0"/>
                <w:numId w:val="37"/>
              </w:numPr>
              <w:rPr>
                <w:rFonts w:eastAsia="Times New Roman"/>
                <w:sz w:val="22"/>
                <w:szCs w:val="22"/>
              </w:rPr>
            </w:pPr>
          </w:p>
        </w:tc>
        <w:tc>
          <w:tcPr>
            <w:tcW w:w="2692" w:type="dxa"/>
          </w:tcPr>
          <w:p w14:paraId="606EF457" w14:textId="2DA33FDB" w:rsidR="0007120C" w:rsidRPr="007D7061" w:rsidRDefault="0007120C" w:rsidP="00A139B9">
            <w:pPr>
              <w:pStyle w:val="NoSpacing"/>
              <w:rPr>
                <w:rFonts w:eastAsia="Times New Roman"/>
                <w:sz w:val="22"/>
                <w:szCs w:val="22"/>
              </w:rPr>
            </w:pPr>
            <w:r w:rsidRPr="007D7061">
              <w:rPr>
                <w:sz w:val="22"/>
                <w:szCs w:val="22"/>
              </w:rPr>
              <w:t xml:space="preserve">Six monthly </w:t>
            </w:r>
          </w:p>
        </w:tc>
      </w:tr>
      <w:tr w:rsidR="0007120C" w:rsidRPr="007D7061" w14:paraId="50111896" w14:textId="77777777" w:rsidTr="00B70230">
        <w:tc>
          <w:tcPr>
            <w:tcW w:w="5938" w:type="dxa"/>
          </w:tcPr>
          <w:p w14:paraId="2D44E1A7" w14:textId="3DDFEBDB" w:rsidR="007C783C" w:rsidRPr="007D7061" w:rsidRDefault="007C783C" w:rsidP="00A139B9">
            <w:pPr>
              <w:pStyle w:val="NoSpacing"/>
              <w:rPr>
                <w:sz w:val="22"/>
                <w:szCs w:val="22"/>
              </w:rPr>
            </w:pPr>
            <w:r w:rsidRPr="007D7061">
              <w:rPr>
                <w:sz w:val="22"/>
                <w:szCs w:val="22"/>
              </w:rPr>
              <w:t xml:space="preserve">Systematic filing of E&amp;S related documents, including public complaints, consultation records. </w:t>
            </w:r>
          </w:p>
          <w:p w14:paraId="0464B040" w14:textId="74474E2E" w:rsidR="0007120C" w:rsidRPr="007D7061" w:rsidRDefault="0007120C" w:rsidP="00A139B9">
            <w:pPr>
              <w:pStyle w:val="NoSpacing"/>
              <w:rPr>
                <w:sz w:val="22"/>
                <w:szCs w:val="22"/>
              </w:rPr>
            </w:pPr>
            <w:r w:rsidRPr="007D7061">
              <w:rPr>
                <w:sz w:val="22"/>
                <w:szCs w:val="22"/>
              </w:rPr>
              <w:t xml:space="preserve">Undertake community and Stakeholder Engagement in line with the </w:t>
            </w:r>
            <w:r w:rsidR="007C783C" w:rsidRPr="007D7061">
              <w:rPr>
                <w:sz w:val="22"/>
                <w:szCs w:val="22"/>
              </w:rPr>
              <w:t>Project’s Stakeholder Engagement Plan (</w:t>
            </w:r>
            <w:r w:rsidRPr="007D7061">
              <w:rPr>
                <w:sz w:val="22"/>
                <w:szCs w:val="22"/>
              </w:rPr>
              <w:t>SEP</w:t>
            </w:r>
            <w:r w:rsidR="007C783C" w:rsidRPr="007D7061">
              <w:rPr>
                <w:sz w:val="22"/>
                <w:szCs w:val="22"/>
              </w:rPr>
              <w:t>)</w:t>
            </w:r>
          </w:p>
          <w:p w14:paraId="7B8F6E85" w14:textId="402A793A" w:rsidR="007C783C" w:rsidRPr="007D7061" w:rsidRDefault="007C783C" w:rsidP="00A139B9">
            <w:pPr>
              <w:pStyle w:val="NoSpacing"/>
              <w:rPr>
                <w:rFonts w:eastAsia="Times New Roman"/>
                <w:sz w:val="22"/>
                <w:szCs w:val="22"/>
              </w:rPr>
            </w:pPr>
            <w:r w:rsidRPr="007D7061">
              <w:rPr>
                <w:rFonts w:eastAsia="Times New Roman"/>
                <w:sz w:val="22"/>
                <w:szCs w:val="22"/>
              </w:rPr>
              <w:t xml:space="preserve">Periodically update the grievance and complaints logging system for the project, report on the project’s </w:t>
            </w:r>
            <w:proofErr w:type="gramStart"/>
            <w:r w:rsidRPr="007D7061">
              <w:rPr>
                <w:rFonts w:eastAsia="Times New Roman"/>
                <w:sz w:val="22"/>
                <w:szCs w:val="22"/>
              </w:rPr>
              <w:t>the Grievance</w:t>
            </w:r>
            <w:proofErr w:type="gramEnd"/>
            <w:r w:rsidRPr="007D7061">
              <w:rPr>
                <w:rFonts w:eastAsia="Times New Roman"/>
                <w:sz w:val="22"/>
                <w:szCs w:val="22"/>
              </w:rPr>
              <w:t xml:space="preserve"> Redress Mechanism (GRM) and assist with resolving difficult grievances</w:t>
            </w:r>
          </w:p>
        </w:tc>
        <w:tc>
          <w:tcPr>
            <w:tcW w:w="2692" w:type="dxa"/>
          </w:tcPr>
          <w:p w14:paraId="488FCF50" w14:textId="2D849816" w:rsidR="0007120C" w:rsidRPr="007D7061" w:rsidRDefault="0007120C" w:rsidP="00A139B9">
            <w:pPr>
              <w:pStyle w:val="NoSpacing"/>
              <w:rPr>
                <w:rFonts w:eastAsia="Times New Roman"/>
                <w:sz w:val="22"/>
                <w:szCs w:val="22"/>
              </w:rPr>
            </w:pPr>
            <w:r w:rsidRPr="007D7061">
              <w:rPr>
                <w:sz w:val="22"/>
                <w:szCs w:val="22"/>
              </w:rPr>
              <w:t>Throughout project implementation</w:t>
            </w:r>
          </w:p>
        </w:tc>
      </w:tr>
      <w:bookmarkEnd w:id="13"/>
      <w:bookmarkEnd w:id="14"/>
    </w:tbl>
    <w:p w14:paraId="1330EA1D" w14:textId="3315496F" w:rsidR="00B07717" w:rsidRPr="007D7061" w:rsidRDefault="00B07717" w:rsidP="00B07717">
      <w:pPr>
        <w:pStyle w:val="NoSpacing"/>
        <w:rPr>
          <w:sz w:val="10"/>
          <w:szCs w:val="10"/>
        </w:rPr>
      </w:pPr>
    </w:p>
    <w:p w14:paraId="382A3787" w14:textId="77777777" w:rsidR="00A139B9" w:rsidRPr="007D7061" w:rsidRDefault="00A139B9" w:rsidP="00A139B9">
      <w:pPr>
        <w:pStyle w:val="ListParagraph"/>
        <w:jc w:val="both"/>
        <w:rPr>
          <w:rFonts w:ascii="Times New Roman" w:hAnsi="Times New Roman" w:cs="Times New Roman"/>
          <w:sz w:val="10"/>
          <w:szCs w:val="10"/>
        </w:rPr>
      </w:pPr>
      <w:bookmarkStart w:id="15" w:name="_Hlk173502864"/>
      <w:bookmarkStart w:id="16" w:name="_Hlk171285866"/>
      <w:bookmarkStart w:id="17" w:name="_Hlk171415244"/>
      <w:bookmarkStart w:id="18" w:name="_Hlk171436250"/>
    </w:p>
    <w:p w14:paraId="66BA4C22" w14:textId="77777777" w:rsidR="00E3394D" w:rsidRPr="007D7061" w:rsidRDefault="00E3394D" w:rsidP="00A139B9">
      <w:pPr>
        <w:pStyle w:val="ListParagraph"/>
        <w:jc w:val="both"/>
        <w:rPr>
          <w:rFonts w:ascii="Times New Roman" w:hAnsi="Times New Roman" w:cs="Times New Roman"/>
          <w:sz w:val="10"/>
          <w:szCs w:val="10"/>
        </w:rPr>
      </w:pPr>
    </w:p>
    <w:p w14:paraId="74FB0982" w14:textId="77777777" w:rsidR="00E3394D" w:rsidRPr="007D7061" w:rsidRDefault="00E3394D" w:rsidP="00A139B9">
      <w:pPr>
        <w:pStyle w:val="ListParagraph"/>
        <w:jc w:val="both"/>
        <w:rPr>
          <w:rFonts w:ascii="Times New Roman" w:hAnsi="Times New Roman" w:cs="Times New Roman"/>
          <w:sz w:val="10"/>
          <w:szCs w:val="10"/>
        </w:rPr>
      </w:pPr>
    </w:p>
    <w:p w14:paraId="2C1C429B" w14:textId="77777777" w:rsidR="00E3394D" w:rsidRPr="007D7061" w:rsidRDefault="00E3394D" w:rsidP="00A139B9">
      <w:pPr>
        <w:pStyle w:val="ListParagraph"/>
        <w:jc w:val="both"/>
        <w:rPr>
          <w:rFonts w:ascii="Times New Roman" w:hAnsi="Times New Roman" w:cs="Times New Roman"/>
          <w:sz w:val="10"/>
          <w:szCs w:val="10"/>
        </w:rPr>
      </w:pPr>
    </w:p>
    <w:p w14:paraId="0D0750E3" w14:textId="77777777" w:rsidR="00E3394D" w:rsidRPr="007D7061" w:rsidRDefault="00E3394D" w:rsidP="00A139B9">
      <w:pPr>
        <w:pStyle w:val="ListParagraph"/>
        <w:jc w:val="both"/>
        <w:rPr>
          <w:rFonts w:ascii="Times New Roman" w:hAnsi="Times New Roman" w:cs="Times New Roman"/>
          <w:sz w:val="10"/>
          <w:szCs w:val="10"/>
        </w:rPr>
      </w:pPr>
    </w:p>
    <w:p w14:paraId="74014B66" w14:textId="36113AE3" w:rsidR="004774F4" w:rsidRPr="007D7061" w:rsidRDefault="004774F4" w:rsidP="004774F4">
      <w:pPr>
        <w:pStyle w:val="ListParagraph"/>
        <w:numPr>
          <w:ilvl w:val="0"/>
          <w:numId w:val="1"/>
        </w:numPr>
        <w:jc w:val="both"/>
        <w:rPr>
          <w:rFonts w:ascii="Times New Roman" w:hAnsi="Times New Roman" w:cs="Times New Roman"/>
          <w:sz w:val="10"/>
          <w:szCs w:val="10"/>
        </w:rPr>
      </w:pPr>
      <w:r w:rsidRPr="007D7061">
        <w:rPr>
          <w:rFonts w:ascii="Times New Roman" w:hAnsi="Times New Roman" w:cs="Times New Roman"/>
          <w:b/>
          <w:i/>
          <w:u w:val="single"/>
        </w:rPr>
        <w:t xml:space="preserve">Key </w:t>
      </w:r>
      <w:proofErr w:type="spellStart"/>
      <w:r w:rsidRPr="007D7061">
        <w:rPr>
          <w:rFonts w:ascii="Times New Roman" w:hAnsi="Times New Roman" w:cs="Times New Roman"/>
          <w:b/>
          <w:i/>
          <w:u w:val="single"/>
        </w:rPr>
        <w:t>Deliverablesand</w:t>
      </w:r>
      <w:proofErr w:type="spellEnd"/>
      <w:r w:rsidRPr="007D7061">
        <w:rPr>
          <w:rFonts w:ascii="Times New Roman" w:hAnsi="Times New Roman" w:cs="Times New Roman"/>
          <w:b/>
          <w:i/>
          <w:u w:val="single"/>
        </w:rPr>
        <w:t xml:space="preserve"> K</w:t>
      </w:r>
      <w:r w:rsidR="007C783C" w:rsidRPr="007D7061">
        <w:rPr>
          <w:rFonts w:ascii="Times New Roman" w:hAnsi="Times New Roman" w:cs="Times New Roman"/>
          <w:b/>
          <w:i/>
          <w:u w:val="single"/>
        </w:rPr>
        <w:t xml:space="preserve">ey </w:t>
      </w:r>
      <w:r w:rsidRPr="007D7061">
        <w:rPr>
          <w:rFonts w:ascii="Times New Roman" w:hAnsi="Times New Roman" w:cs="Times New Roman"/>
          <w:b/>
          <w:i/>
          <w:u w:val="single"/>
        </w:rPr>
        <w:t>P</w:t>
      </w:r>
      <w:r w:rsidR="007C783C" w:rsidRPr="007D7061">
        <w:rPr>
          <w:rFonts w:ascii="Times New Roman" w:hAnsi="Times New Roman" w:cs="Times New Roman"/>
          <w:b/>
          <w:i/>
          <w:u w:val="single"/>
        </w:rPr>
        <w:t xml:space="preserve">erformance </w:t>
      </w:r>
      <w:r w:rsidRPr="007D7061">
        <w:rPr>
          <w:rFonts w:ascii="Times New Roman" w:hAnsi="Times New Roman" w:cs="Times New Roman"/>
          <w:b/>
          <w:i/>
          <w:u w:val="single"/>
        </w:rPr>
        <w:t>I</w:t>
      </w:r>
      <w:r w:rsidR="007C783C" w:rsidRPr="007D7061">
        <w:rPr>
          <w:rFonts w:ascii="Times New Roman" w:hAnsi="Times New Roman" w:cs="Times New Roman"/>
          <w:b/>
          <w:i/>
          <w:u w:val="single"/>
        </w:rPr>
        <w:t>ndicator</w:t>
      </w:r>
      <w:r w:rsidRPr="007D7061">
        <w:rPr>
          <w:rFonts w:ascii="Times New Roman" w:hAnsi="Times New Roman" w:cs="Times New Roman"/>
          <w:b/>
          <w:i/>
          <w:u w:val="single"/>
        </w:rPr>
        <w:t>s:</w:t>
      </w:r>
    </w:p>
    <w:tbl>
      <w:tblPr>
        <w:tblStyle w:val="TableGrid1"/>
        <w:tblW w:w="8788" w:type="dxa"/>
        <w:tblInd w:w="279" w:type="dxa"/>
        <w:tblLook w:val="04A0" w:firstRow="1" w:lastRow="0" w:firstColumn="1" w:lastColumn="0" w:noHBand="0" w:noVBand="1"/>
      </w:tblPr>
      <w:tblGrid>
        <w:gridCol w:w="4252"/>
        <w:gridCol w:w="1713"/>
        <w:gridCol w:w="2823"/>
      </w:tblGrid>
      <w:tr w:rsidR="004774F4" w:rsidRPr="007D7061" w14:paraId="2D7757EC" w14:textId="77777777" w:rsidTr="00C72B0D">
        <w:trPr>
          <w:trHeight w:val="71"/>
        </w:trPr>
        <w:tc>
          <w:tcPr>
            <w:tcW w:w="4252" w:type="dxa"/>
            <w:shd w:val="clear" w:color="auto" w:fill="D9D9D9" w:themeFill="background1" w:themeFillShade="D9"/>
          </w:tcPr>
          <w:p w14:paraId="4491F933" w14:textId="77777777" w:rsidR="004774F4" w:rsidRPr="007D7061" w:rsidRDefault="004774F4" w:rsidP="00C72B0D">
            <w:pPr>
              <w:pStyle w:val="NoSpacing"/>
              <w:jc w:val="center"/>
              <w:rPr>
                <w:b/>
                <w:bCs/>
                <w:sz w:val="22"/>
                <w:szCs w:val="22"/>
                <w:lang w:val="en-AU"/>
              </w:rPr>
            </w:pPr>
            <w:bookmarkStart w:id="19" w:name="_Hlk173507882"/>
            <w:bookmarkEnd w:id="15"/>
            <w:r w:rsidRPr="007D7061">
              <w:rPr>
                <w:b/>
                <w:bCs/>
                <w:sz w:val="22"/>
                <w:szCs w:val="22"/>
                <w:lang w:val="en-AU"/>
              </w:rPr>
              <w:t>Key Deliverables</w:t>
            </w:r>
          </w:p>
        </w:tc>
        <w:tc>
          <w:tcPr>
            <w:tcW w:w="1713" w:type="dxa"/>
            <w:shd w:val="clear" w:color="auto" w:fill="D9D9D9" w:themeFill="background1" w:themeFillShade="D9"/>
          </w:tcPr>
          <w:p w14:paraId="2F120247" w14:textId="77777777" w:rsidR="004774F4" w:rsidRPr="007D7061" w:rsidRDefault="004774F4" w:rsidP="00C72B0D">
            <w:pPr>
              <w:pStyle w:val="NoSpacing"/>
              <w:jc w:val="center"/>
              <w:rPr>
                <w:b/>
                <w:bCs/>
                <w:sz w:val="22"/>
                <w:szCs w:val="22"/>
                <w:lang w:val="en-AU"/>
              </w:rPr>
            </w:pPr>
            <w:r w:rsidRPr="007D7061">
              <w:rPr>
                <w:b/>
                <w:bCs/>
                <w:sz w:val="22"/>
                <w:szCs w:val="22"/>
                <w:lang w:val="en-AU"/>
              </w:rPr>
              <w:t>Timing</w:t>
            </w:r>
          </w:p>
        </w:tc>
        <w:tc>
          <w:tcPr>
            <w:tcW w:w="2823" w:type="dxa"/>
            <w:shd w:val="clear" w:color="auto" w:fill="D9D9D9" w:themeFill="background1" w:themeFillShade="D9"/>
          </w:tcPr>
          <w:p w14:paraId="60EE3515" w14:textId="77777777" w:rsidR="004774F4" w:rsidRPr="007D7061" w:rsidRDefault="004774F4" w:rsidP="00C72B0D">
            <w:pPr>
              <w:pStyle w:val="NoSpacing"/>
              <w:jc w:val="center"/>
              <w:rPr>
                <w:b/>
                <w:bCs/>
                <w:sz w:val="22"/>
                <w:szCs w:val="22"/>
                <w:lang w:val="en-AU"/>
              </w:rPr>
            </w:pPr>
            <w:r w:rsidRPr="007D7061">
              <w:rPr>
                <w:b/>
                <w:bCs/>
                <w:sz w:val="22"/>
                <w:szCs w:val="22"/>
                <w:lang w:val="en-AU"/>
              </w:rPr>
              <w:t>KPI</w:t>
            </w:r>
          </w:p>
        </w:tc>
      </w:tr>
      <w:tr w:rsidR="004774F4" w:rsidRPr="007D7061" w14:paraId="5F478B29" w14:textId="77777777" w:rsidTr="00C72B0D">
        <w:trPr>
          <w:trHeight w:val="179"/>
        </w:trPr>
        <w:tc>
          <w:tcPr>
            <w:tcW w:w="4252" w:type="dxa"/>
          </w:tcPr>
          <w:p w14:paraId="5674C4C9" w14:textId="327D9D61" w:rsidR="004774F4" w:rsidRPr="007D7061" w:rsidRDefault="004774F4" w:rsidP="004774F4">
            <w:pPr>
              <w:pStyle w:val="NoSpacing"/>
              <w:rPr>
                <w:sz w:val="20"/>
                <w:szCs w:val="20"/>
                <w:lang w:val="en-AU"/>
              </w:rPr>
            </w:pPr>
            <w:bookmarkStart w:id="20" w:name="_Hlk173508813"/>
            <w:r w:rsidRPr="007D7061">
              <w:rPr>
                <w:sz w:val="20"/>
                <w:szCs w:val="20"/>
                <w:lang w:val="en-AU"/>
              </w:rPr>
              <w:t xml:space="preserve">Completed new officer induction/probation and any related training requirements </w:t>
            </w:r>
            <w:bookmarkEnd w:id="20"/>
          </w:p>
        </w:tc>
        <w:tc>
          <w:tcPr>
            <w:tcW w:w="1713" w:type="dxa"/>
          </w:tcPr>
          <w:p w14:paraId="58AE3ADE" w14:textId="09FEA447" w:rsidR="004774F4" w:rsidRPr="007D7061" w:rsidRDefault="004774F4" w:rsidP="004774F4">
            <w:pPr>
              <w:pStyle w:val="NoSpacing"/>
              <w:rPr>
                <w:sz w:val="20"/>
                <w:szCs w:val="20"/>
                <w:lang w:val="en-AU"/>
              </w:rPr>
            </w:pPr>
            <w:r w:rsidRPr="007D7061">
              <w:rPr>
                <w:sz w:val="20"/>
                <w:szCs w:val="20"/>
                <w:lang w:val="en-AU"/>
              </w:rPr>
              <w:t>Six months of probation</w:t>
            </w:r>
          </w:p>
        </w:tc>
        <w:tc>
          <w:tcPr>
            <w:tcW w:w="2823" w:type="dxa"/>
          </w:tcPr>
          <w:p w14:paraId="2F154D69" w14:textId="1C4AF594" w:rsidR="004774F4" w:rsidRPr="007D7061" w:rsidRDefault="004774F4" w:rsidP="004774F4">
            <w:pPr>
              <w:pStyle w:val="NoSpacing"/>
              <w:rPr>
                <w:sz w:val="20"/>
                <w:szCs w:val="20"/>
                <w:lang w:val="en-AU"/>
              </w:rPr>
            </w:pPr>
            <w:r w:rsidRPr="007D7061">
              <w:rPr>
                <w:sz w:val="20"/>
                <w:szCs w:val="20"/>
                <w:lang w:val="en-AU"/>
              </w:rPr>
              <w:t>Probation completed and 100% required trainings completed.</w:t>
            </w:r>
          </w:p>
        </w:tc>
      </w:tr>
      <w:tr w:rsidR="00AF1C1D" w:rsidRPr="007D7061" w14:paraId="345538E6" w14:textId="77777777" w:rsidTr="00C72B0D">
        <w:trPr>
          <w:trHeight w:val="179"/>
        </w:trPr>
        <w:tc>
          <w:tcPr>
            <w:tcW w:w="4252" w:type="dxa"/>
          </w:tcPr>
          <w:p w14:paraId="70DB252B" w14:textId="3EB1072F" w:rsidR="00AF1C1D" w:rsidRPr="007D7061" w:rsidRDefault="00AF1C1D" w:rsidP="004774F4">
            <w:pPr>
              <w:pStyle w:val="NoSpacing"/>
              <w:rPr>
                <w:sz w:val="20"/>
                <w:szCs w:val="20"/>
                <w:lang w:val="en-AU"/>
              </w:rPr>
            </w:pPr>
            <w:r w:rsidRPr="007D7061">
              <w:rPr>
                <w:sz w:val="20"/>
                <w:szCs w:val="20"/>
                <w:lang w:val="en-AU"/>
              </w:rPr>
              <w:lastRenderedPageBreak/>
              <w:t>Incorporate the E&amp;S risk management measures into the Project Operational Manual</w:t>
            </w:r>
          </w:p>
        </w:tc>
        <w:tc>
          <w:tcPr>
            <w:tcW w:w="1713" w:type="dxa"/>
          </w:tcPr>
          <w:p w14:paraId="222DC3A8" w14:textId="46014567" w:rsidR="00AF1C1D" w:rsidRPr="007D7061" w:rsidRDefault="00AF1C1D" w:rsidP="004774F4">
            <w:pPr>
              <w:pStyle w:val="NoSpacing"/>
              <w:rPr>
                <w:sz w:val="20"/>
                <w:szCs w:val="20"/>
                <w:lang w:val="en-AU"/>
              </w:rPr>
            </w:pPr>
            <w:r w:rsidRPr="007D7061">
              <w:rPr>
                <w:sz w:val="20"/>
                <w:szCs w:val="20"/>
                <w:lang w:val="en-AU"/>
              </w:rPr>
              <w:t>By 90 days</w:t>
            </w:r>
          </w:p>
        </w:tc>
        <w:tc>
          <w:tcPr>
            <w:tcW w:w="2823" w:type="dxa"/>
            <w:vMerge w:val="restart"/>
          </w:tcPr>
          <w:p w14:paraId="50B7C033" w14:textId="510B2353" w:rsidR="00AF1C1D" w:rsidRPr="007D7061" w:rsidRDefault="00AF1C1D" w:rsidP="004774F4">
            <w:pPr>
              <w:pStyle w:val="NoSpacing"/>
              <w:rPr>
                <w:sz w:val="20"/>
                <w:szCs w:val="20"/>
                <w:lang w:val="en-AU"/>
              </w:rPr>
            </w:pPr>
            <w:r w:rsidRPr="007D7061">
              <w:rPr>
                <w:sz w:val="20"/>
                <w:szCs w:val="20"/>
                <w:lang w:val="en-AU"/>
              </w:rPr>
              <w:t>#/% of delays in providing</w:t>
            </w:r>
          </w:p>
        </w:tc>
      </w:tr>
      <w:tr w:rsidR="00AF1C1D" w:rsidRPr="007D7061" w14:paraId="2B9017B5" w14:textId="77777777" w:rsidTr="00C72B0D">
        <w:trPr>
          <w:trHeight w:val="179"/>
        </w:trPr>
        <w:tc>
          <w:tcPr>
            <w:tcW w:w="4252" w:type="dxa"/>
          </w:tcPr>
          <w:p w14:paraId="045A1CA9" w14:textId="7D20C37C" w:rsidR="00AF1C1D" w:rsidRPr="007D7061" w:rsidRDefault="00AF1C1D" w:rsidP="004774F4">
            <w:pPr>
              <w:pStyle w:val="NoSpacing"/>
              <w:rPr>
                <w:sz w:val="20"/>
                <w:szCs w:val="20"/>
                <w:lang w:val="en-AU"/>
              </w:rPr>
            </w:pPr>
            <w:r w:rsidRPr="007D7061">
              <w:rPr>
                <w:sz w:val="20"/>
                <w:szCs w:val="20"/>
                <w:lang w:val="en-AU"/>
              </w:rPr>
              <w:t xml:space="preserve">Prepare and disclose Labor Management Procedures (LMP) </w:t>
            </w:r>
          </w:p>
        </w:tc>
        <w:tc>
          <w:tcPr>
            <w:tcW w:w="1713" w:type="dxa"/>
          </w:tcPr>
          <w:p w14:paraId="648DD332" w14:textId="1BBF82BC" w:rsidR="00AF1C1D" w:rsidRPr="007D7061" w:rsidRDefault="00AF1C1D" w:rsidP="004774F4">
            <w:pPr>
              <w:pStyle w:val="NoSpacing"/>
              <w:rPr>
                <w:sz w:val="20"/>
                <w:szCs w:val="20"/>
                <w:lang w:val="en-AU"/>
              </w:rPr>
            </w:pPr>
            <w:r w:rsidRPr="007D7061">
              <w:rPr>
                <w:sz w:val="20"/>
                <w:szCs w:val="20"/>
                <w:lang w:val="en-AU"/>
              </w:rPr>
              <w:t>Within 30 days</w:t>
            </w:r>
          </w:p>
          <w:p w14:paraId="100A234A" w14:textId="32705F6B" w:rsidR="00AF1C1D" w:rsidRPr="007D7061" w:rsidRDefault="00AF1C1D" w:rsidP="004774F4">
            <w:pPr>
              <w:pStyle w:val="NoSpacing"/>
              <w:rPr>
                <w:sz w:val="20"/>
                <w:szCs w:val="20"/>
                <w:lang w:val="en-AU"/>
              </w:rPr>
            </w:pPr>
          </w:p>
        </w:tc>
        <w:tc>
          <w:tcPr>
            <w:tcW w:w="2823" w:type="dxa"/>
            <w:vMerge/>
          </w:tcPr>
          <w:p w14:paraId="6FF88195" w14:textId="652ED76B" w:rsidR="00AF1C1D" w:rsidRPr="007D7061" w:rsidRDefault="00AF1C1D" w:rsidP="004774F4">
            <w:pPr>
              <w:pStyle w:val="NoSpacing"/>
              <w:rPr>
                <w:sz w:val="20"/>
                <w:szCs w:val="20"/>
                <w:lang w:val="en-AU"/>
              </w:rPr>
            </w:pPr>
          </w:p>
        </w:tc>
      </w:tr>
      <w:tr w:rsidR="00AF1C1D" w:rsidRPr="007D7061" w14:paraId="4B793E55" w14:textId="77777777" w:rsidTr="00C72B0D">
        <w:trPr>
          <w:trHeight w:val="179"/>
        </w:trPr>
        <w:tc>
          <w:tcPr>
            <w:tcW w:w="4252" w:type="dxa"/>
          </w:tcPr>
          <w:p w14:paraId="147F3C3D" w14:textId="1E31EF55" w:rsidR="00AF1C1D" w:rsidRPr="007D7061" w:rsidRDefault="00AF1C1D" w:rsidP="004774F4">
            <w:pPr>
              <w:pStyle w:val="NoSpacing"/>
              <w:rPr>
                <w:sz w:val="20"/>
                <w:szCs w:val="20"/>
                <w:lang w:val="en-AU"/>
              </w:rPr>
            </w:pPr>
            <w:r w:rsidRPr="007D7061">
              <w:rPr>
                <w:sz w:val="20"/>
                <w:szCs w:val="20"/>
                <w:lang w:val="en-AU"/>
              </w:rPr>
              <w:t>Establish and operate a grievance mechanism for Project workers, as described in the LMP</w:t>
            </w:r>
          </w:p>
        </w:tc>
        <w:tc>
          <w:tcPr>
            <w:tcW w:w="1713" w:type="dxa"/>
          </w:tcPr>
          <w:p w14:paraId="7036BF82" w14:textId="6BAA4BE1" w:rsidR="00AF1C1D" w:rsidRPr="007D7061" w:rsidRDefault="00AF1C1D" w:rsidP="004774F4">
            <w:pPr>
              <w:pStyle w:val="NoSpacing"/>
              <w:rPr>
                <w:sz w:val="20"/>
                <w:szCs w:val="20"/>
                <w:lang w:val="en-AU"/>
              </w:rPr>
            </w:pPr>
            <w:r w:rsidRPr="007D7061">
              <w:rPr>
                <w:sz w:val="20"/>
                <w:szCs w:val="20"/>
                <w:lang w:val="en-AU"/>
              </w:rPr>
              <w:t>Within 30 days</w:t>
            </w:r>
          </w:p>
        </w:tc>
        <w:tc>
          <w:tcPr>
            <w:tcW w:w="2823" w:type="dxa"/>
            <w:vMerge/>
          </w:tcPr>
          <w:p w14:paraId="7F5DC5C6" w14:textId="521A56A9" w:rsidR="00AF1C1D" w:rsidRPr="007D7061" w:rsidRDefault="00AF1C1D" w:rsidP="004774F4">
            <w:pPr>
              <w:pStyle w:val="NoSpacing"/>
              <w:rPr>
                <w:sz w:val="20"/>
                <w:szCs w:val="20"/>
                <w:lang w:val="en-AU"/>
              </w:rPr>
            </w:pPr>
          </w:p>
        </w:tc>
      </w:tr>
      <w:tr w:rsidR="00AF1C1D" w:rsidRPr="007D7061" w14:paraId="77C10DF5" w14:textId="77777777" w:rsidTr="00C72B0D">
        <w:trPr>
          <w:trHeight w:val="179"/>
        </w:trPr>
        <w:tc>
          <w:tcPr>
            <w:tcW w:w="4252" w:type="dxa"/>
          </w:tcPr>
          <w:p w14:paraId="32DB48D1" w14:textId="6B7781E8" w:rsidR="00AF1C1D" w:rsidRPr="007D7061" w:rsidRDefault="00AF1C1D" w:rsidP="004774F4">
            <w:pPr>
              <w:pStyle w:val="NoSpacing"/>
              <w:rPr>
                <w:sz w:val="20"/>
                <w:szCs w:val="20"/>
                <w:lang w:val="en-AU"/>
              </w:rPr>
            </w:pPr>
            <w:r w:rsidRPr="007D7061">
              <w:rPr>
                <w:sz w:val="20"/>
                <w:szCs w:val="20"/>
                <w:lang w:val="en-AU"/>
              </w:rPr>
              <w:t>Prepare, consult upon, disclose and implement a Stakeholder Engagement Plan (SEP)</w:t>
            </w:r>
          </w:p>
        </w:tc>
        <w:tc>
          <w:tcPr>
            <w:tcW w:w="1713" w:type="dxa"/>
          </w:tcPr>
          <w:p w14:paraId="2185448E" w14:textId="3A38E1A6" w:rsidR="00AF1C1D" w:rsidRPr="007D7061" w:rsidRDefault="00AF1C1D" w:rsidP="004774F4">
            <w:pPr>
              <w:pStyle w:val="NoSpacing"/>
              <w:rPr>
                <w:sz w:val="20"/>
                <w:szCs w:val="20"/>
                <w:lang w:val="en-AU"/>
              </w:rPr>
            </w:pPr>
            <w:r w:rsidRPr="007D7061">
              <w:rPr>
                <w:sz w:val="20"/>
                <w:szCs w:val="20"/>
                <w:lang w:val="en-AU"/>
              </w:rPr>
              <w:t>Within 30 days</w:t>
            </w:r>
          </w:p>
        </w:tc>
        <w:tc>
          <w:tcPr>
            <w:tcW w:w="2823" w:type="dxa"/>
            <w:vMerge/>
          </w:tcPr>
          <w:p w14:paraId="10A3D222" w14:textId="5AB4AB1E" w:rsidR="00AF1C1D" w:rsidRPr="007D7061" w:rsidRDefault="00AF1C1D" w:rsidP="004774F4">
            <w:pPr>
              <w:pStyle w:val="NoSpacing"/>
              <w:rPr>
                <w:sz w:val="20"/>
                <w:szCs w:val="20"/>
                <w:lang w:val="en-AU"/>
              </w:rPr>
            </w:pPr>
          </w:p>
        </w:tc>
      </w:tr>
      <w:tr w:rsidR="00AF1C1D" w:rsidRPr="007D7061" w14:paraId="063906E6" w14:textId="77777777" w:rsidTr="00C72B0D">
        <w:trPr>
          <w:trHeight w:val="179"/>
        </w:trPr>
        <w:tc>
          <w:tcPr>
            <w:tcW w:w="4252" w:type="dxa"/>
          </w:tcPr>
          <w:p w14:paraId="65990A83" w14:textId="103EDE3F" w:rsidR="00AF1C1D" w:rsidRPr="007D7061" w:rsidRDefault="00AF1C1D" w:rsidP="004774F4">
            <w:pPr>
              <w:pStyle w:val="NoSpacing"/>
              <w:rPr>
                <w:sz w:val="20"/>
                <w:szCs w:val="20"/>
                <w:lang w:val="en-AU"/>
              </w:rPr>
            </w:pPr>
            <w:r w:rsidRPr="007D7061">
              <w:rPr>
                <w:sz w:val="20"/>
                <w:szCs w:val="20"/>
                <w:lang w:val="en-AU"/>
              </w:rPr>
              <w:t>Establish, publicize, maintain and operate an accessible grievance mechanism (GM) for the project affected communities</w:t>
            </w:r>
          </w:p>
        </w:tc>
        <w:tc>
          <w:tcPr>
            <w:tcW w:w="1713" w:type="dxa"/>
          </w:tcPr>
          <w:p w14:paraId="3B353448" w14:textId="496FDCD7" w:rsidR="00AF1C1D" w:rsidRPr="007D7061" w:rsidRDefault="00AF1C1D" w:rsidP="004774F4">
            <w:pPr>
              <w:pStyle w:val="NoSpacing"/>
              <w:rPr>
                <w:sz w:val="20"/>
                <w:szCs w:val="20"/>
                <w:lang w:val="en-AU"/>
              </w:rPr>
            </w:pPr>
            <w:r w:rsidRPr="007D7061">
              <w:rPr>
                <w:sz w:val="20"/>
                <w:szCs w:val="20"/>
                <w:lang w:val="en-AU"/>
              </w:rPr>
              <w:t>Within 30 days</w:t>
            </w:r>
          </w:p>
        </w:tc>
        <w:tc>
          <w:tcPr>
            <w:tcW w:w="2823" w:type="dxa"/>
            <w:vMerge/>
          </w:tcPr>
          <w:p w14:paraId="03238F31" w14:textId="77777777" w:rsidR="00AF1C1D" w:rsidRPr="007D7061" w:rsidRDefault="00AF1C1D" w:rsidP="004774F4">
            <w:pPr>
              <w:pStyle w:val="NoSpacing"/>
              <w:rPr>
                <w:sz w:val="20"/>
                <w:szCs w:val="20"/>
                <w:lang w:val="en-AU"/>
              </w:rPr>
            </w:pPr>
          </w:p>
        </w:tc>
      </w:tr>
      <w:tr w:rsidR="004774F4" w:rsidRPr="007D7061" w14:paraId="5FBC869D" w14:textId="77777777" w:rsidTr="00C72B0D">
        <w:trPr>
          <w:trHeight w:val="179"/>
        </w:trPr>
        <w:tc>
          <w:tcPr>
            <w:tcW w:w="4252" w:type="dxa"/>
          </w:tcPr>
          <w:p w14:paraId="56B291D0" w14:textId="4E0CDE3F" w:rsidR="000C7275" w:rsidRPr="007D7061" w:rsidRDefault="004774F4" w:rsidP="000C7275">
            <w:pPr>
              <w:pStyle w:val="NoSpacing"/>
              <w:rPr>
                <w:sz w:val="20"/>
                <w:szCs w:val="20"/>
                <w:lang w:val="en-AU"/>
              </w:rPr>
            </w:pPr>
            <w:bookmarkStart w:id="21" w:name="_Hlk173508861"/>
            <w:bookmarkStart w:id="22" w:name="_Hlk173425901"/>
            <w:r w:rsidRPr="007D7061">
              <w:rPr>
                <w:sz w:val="20"/>
                <w:szCs w:val="20"/>
                <w:lang w:val="en-AU"/>
              </w:rPr>
              <w:t xml:space="preserve">Manage </w:t>
            </w:r>
            <w:r w:rsidR="000C7275" w:rsidRPr="007D7061">
              <w:rPr>
                <w:sz w:val="20"/>
                <w:szCs w:val="20"/>
                <w:lang w:val="en-AU"/>
              </w:rPr>
              <w:t xml:space="preserve">risks </w:t>
            </w:r>
            <w:r w:rsidRPr="007D7061">
              <w:rPr>
                <w:sz w:val="20"/>
                <w:szCs w:val="20"/>
                <w:lang w:val="en-AU"/>
              </w:rPr>
              <w:t xml:space="preserve">and </w:t>
            </w:r>
            <w:r w:rsidR="000C7275" w:rsidRPr="007D7061">
              <w:rPr>
                <w:sz w:val="20"/>
                <w:szCs w:val="20"/>
                <w:lang w:val="en-AU"/>
              </w:rPr>
              <w:t>provide inputs for various projects/</w:t>
            </w:r>
            <w:r w:rsidR="00CA45B0" w:rsidRPr="007D7061">
              <w:rPr>
                <w:sz w:val="20"/>
                <w:szCs w:val="20"/>
                <w:lang w:val="en-AU"/>
              </w:rPr>
              <w:t>PMU</w:t>
            </w:r>
            <w:r w:rsidR="000C7275" w:rsidRPr="007D7061">
              <w:rPr>
                <w:sz w:val="20"/>
                <w:szCs w:val="20"/>
                <w:lang w:val="en-AU"/>
              </w:rPr>
              <w:t xml:space="preserve"> activities </w:t>
            </w:r>
            <w:bookmarkEnd w:id="21"/>
            <w:r w:rsidR="000C7275" w:rsidRPr="007D7061">
              <w:rPr>
                <w:sz w:val="20"/>
                <w:szCs w:val="20"/>
                <w:lang w:val="en-AU"/>
              </w:rPr>
              <w:t>related to</w:t>
            </w:r>
            <w:r w:rsidR="000C7275" w:rsidRPr="007D7061">
              <w:rPr>
                <w:rFonts w:eastAsia="Times New Roman"/>
                <w:szCs w:val="20"/>
              </w:rPr>
              <w:t xml:space="preserve"> </w:t>
            </w:r>
            <w:r w:rsidR="000C7275" w:rsidRPr="007D7061">
              <w:rPr>
                <w:sz w:val="20"/>
                <w:szCs w:val="20"/>
                <w:lang w:val="en-AU"/>
              </w:rPr>
              <w:t>environmental, social, health and safety (ESHS)</w:t>
            </w:r>
          </w:p>
        </w:tc>
        <w:tc>
          <w:tcPr>
            <w:tcW w:w="1713" w:type="dxa"/>
          </w:tcPr>
          <w:p w14:paraId="1B90C450" w14:textId="77777777" w:rsidR="004774F4" w:rsidRPr="007D7061" w:rsidRDefault="004774F4" w:rsidP="00C72B0D">
            <w:pPr>
              <w:pStyle w:val="NoSpacing"/>
              <w:rPr>
                <w:sz w:val="20"/>
                <w:szCs w:val="20"/>
                <w:lang w:val="en-AU"/>
              </w:rPr>
            </w:pPr>
            <w:r w:rsidRPr="007D7061">
              <w:rPr>
                <w:sz w:val="20"/>
                <w:szCs w:val="20"/>
                <w:lang w:val="en-AU"/>
              </w:rPr>
              <w:t>Weekly &amp; Monthly</w:t>
            </w:r>
          </w:p>
        </w:tc>
        <w:tc>
          <w:tcPr>
            <w:tcW w:w="2823" w:type="dxa"/>
          </w:tcPr>
          <w:p w14:paraId="1BC7EC2F" w14:textId="226BCFF0" w:rsidR="004774F4" w:rsidRPr="007D7061" w:rsidRDefault="004774F4" w:rsidP="00C72B0D">
            <w:pPr>
              <w:pStyle w:val="NoSpacing"/>
              <w:rPr>
                <w:sz w:val="20"/>
                <w:szCs w:val="20"/>
                <w:lang w:val="en-AU"/>
              </w:rPr>
            </w:pPr>
            <w:r w:rsidRPr="007D7061">
              <w:rPr>
                <w:sz w:val="20"/>
                <w:szCs w:val="20"/>
                <w:lang w:val="en-AU"/>
              </w:rPr>
              <w:t>#/% of delays in pr</w:t>
            </w:r>
            <w:r w:rsidR="00676786" w:rsidRPr="007D7061">
              <w:rPr>
                <w:sz w:val="20"/>
                <w:szCs w:val="20"/>
                <w:lang w:val="en-AU"/>
              </w:rPr>
              <w:t>oviding</w:t>
            </w:r>
          </w:p>
        </w:tc>
      </w:tr>
      <w:bookmarkEnd w:id="22"/>
      <w:tr w:rsidR="004774F4" w:rsidRPr="007D7061" w14:paraId="19CA8939" w14:textId="77777777" w:rsidTr="00C72B0D">
        <w:trPr>
          <w:trHeight w:val="62"/>
        </w:trPr>
        <w:tc>
          <w:tcPr>
            <w:tcW w:w="4252" w:type="dxa"/>
          </w:tcPr>
          <w:p w14:paraId="725CE848" w14:textId="77777777" w:rsidR="004774F4" w:rsidRPr="007D7061" w:rsidRDefault="004774F4" w:rsidP="004774F4">
            <w:pPr>
              <w:pStyle w:val="NoSpacing"/>
              <w:rPr>
                <w:rFonts w:eastAsia="Calibri"/>
                <w:bCs/>
                <w:sz w:val="20"/>
                <w:szCs w:val="20"/>
                <w:lang w:val="en-AU"/>
              </w:rPr>
            </w:pPr>
            <w:r w:rsidRPr="007D7061">
              <w:rPr>
                <w:sz w:val="20"/>
                <w:szCs w:val="20"/>
                <w:lang w:val="en-AU"/>
              </w:rPr>
              <w:t xml:space="preserve">Manage and perform day-to-day </w:t>
            </w:r>
            <w:r w:rsidR="000C7275" w:rsidRPr="007D7061">
              <w:rPr>
                <w:sz w:val="20"/>
                <w:szCs w:val="20"/>
                <w:lang w:val="en-AU"/>
              </w:rPr>
              <w:t xml:space="preserve">ESS </w:t>
            </w:r>
            <w:r w:rsidRPr="007D7061">
              <w:rPr>
                <w:sz w:val="20"/>
                <w:szCs w:val="20"/>
                <w:lang w:val="en-AU"/>
              </w:rPr>
              <w:t xml:space="preserve">workstream operational activities towards achieving </w:t>
            </w:r>
            <w:r w:rsidRPr="007D7061">
              <w:rPr>
                <w:sz w:val="20"/>
                <w:szCs w:val="20"/>
                <w:u w:val="single"/>
              </w:rPr>
              <w:t xml:space="preserve">80% of the </w:t>
            </w:r>
            <w:r w:rsidR="000C7275" w:rsidRPr="007D7061">
              <w:rPr>
                <w:sz w:val="20"/>
                <w:szCs w:val="20"/>
                <w:u w:val="single"/>
              </w:rPr>
              <w:t xml:space="preserve">planned targets </w:t>
            </w:r>
            <w:r w:rsidRPr="007D7061">
              <w:rPr>
                <w:sz w:val="20"/>
                <w:szCs w:val="20"/>
              </w:rPr>
              <w:t xml:space="preserve">in each </w:t>
            </w:r>
            <w:r w:rsidRPr="007D7061">
              <w:rPr>
                <w:sz w:val="20"/>
                <w:szCs w:val="20"/>
                <w:u w:val="single"/>
              </w:rPr>
              <w:t>quarte</w:t>
            </w:r>
            <w:r w:rsidR="000C7275" w:rsidRPr="007D7061">
              <w:rPr>
                <w:sz w:val="20"/>
                <w:szCs w:val="20"/>
                <w:u w:val="single"/>
              </w:rPr>
              <w:t xml:space="preserve">r without </w:t>
            </w:r>
            <w:r w:rsidR="000C7275" w:rsidRPr="007D7061">
              <w:rPr>
                <w:rFonts w:eastAsia="Calibri"/>
                <w:bCs/>
                <w:sz w:val="20"/>
                <w:szCs w:val="20"/>
                <w:lang w:val="en-AU"/>
              </w:rPr>
              <w:t>any delays or major issue by mitigating risks.</w:t>
            </w:r>
          </w:p>
          <w:p w14:paraId="312D09E5" w14:textId="77777777" w:rsidR="002E09AE" w:rsidRPr="007D7061" w:rsidRDefault="002E09AE" w:rsidP="004774F4">
            <w:pPr>
              <w:pStyle w:val="NoSpacing"/>
              <w:rPr>
                <w:rFonts w:eastAsia="Calibri"/>
                <w:bCs/>
                <w:sz w:val="20"/>
                <w:szCs w:val="20"/>
                <w:lang w:val="en-AU"/>
              </w:rPr>
            </w:pPr>
            <w:r w:rsidRPr="007D7061">
              <w:rPr>
                <w:rFonts w:eastAsia="Calibri"/>
                <w:bCs/>
                <w:sz w:val="20"/>
                <w:szCs w:val="20"/>
                <w:lang w:val="en-AU"/>
              </w:rPr>
              <w:t>Including following:</w:t>
            </w:r>
          </w:p>
          <w:p w14:paraId="5448058E" w14:textId="77777777" w:rsidR="002E09AE" w:rsidRPr="007D7061" w:rsidRDefault="002E09AE" w:rsidP="002E09AE">
            <w:pPr>
              <w:pStyle w:val="NoSpacing"/>
              <w:numPr>
                <w:ilvl w:val="0"/>
                <w:numId w:val="35"/>
              </w:numPr>
              <w:rPr>
                <w:sz w:val="20"/>
                <w:szCs w:val="20"/>
                <w:lang w:val="en-AU"/>
              </w:rPr>
            </w:pPr>
            <w:r w:rsidRPr="007D7061">
              <w:rPr>
                <w:rFonts w:eastAsia="Calibri"/>
                <w:bCs/>
                <w:sz w:val="20"/>
                <w:szCs w:val="20"/>
                <w:lang w:val="en-AU"/>
              </w:rPr>
              <w:t>Implement GRM and assist in resolving issues</w:t>
            </w:r>
          </w:p>
          <w:p w14:paraId="69C74B61" w14:textId="77777777" w:rsidR="002E09AE" w:rsidRPr="007D7061" w:rsidRDefault="002E09AE" w:rsidP="002E09AE">
            <w:pPr>
              <w:pStyle w:val="NoSpacing"/>
              <w:numPr>
                <w:ilvl w:val="0"/>
                <w:numId w:val="35"/>
              </w:numPr>
              <w:rPr>
                <w:sz w:val="20"/>
                <w:szCs w:val="20"/>
                <w:lang w:val="en-AU"/>
              </w:rPr>
            </w:pPr>
            <w:r w:rsidRPr="007D7061">
              <w:rPr>
                <w:sz w:val="20"/>
                <w:szCs w:val="20"/>
                <w:lang w:val="en-AU"/>
              </w:rPr>
              <w:t>Provide inputs on ESHS issues</w:t>
            </w:r>
          </w:p>
          <w:p w14:paraId="5E851012" w14:textId="5EB6F12C" w:rsidR="002E09AE" w:rsidRPr="007D7061" w:rsidRDefault="002E09AE" w:rsidP="00D46593">
            <w:pPr>
              <w:pStyle w:val="NoSpacing"/>
              <w:numPr>
                <w:ilvl w:val="0"/>
                <w:numId w:val="35"/>
              </w:numPr>
              <w:rPr>
                <w:sz w:val="20"/>
                <w:szCs w:val="20"/>
                <w:lang w:val="en-AU"/>
              </w:rPr>
            </w:pPr>
          </w:p>
        </w:tc>
        <w:tc>
          <w:tcPr>
            <w:tcW w:w="1713" w:type="dxa"/>
          </w:tcPr>
          <w:p w14:paraId="31C676FB" w14:textId="09AF3077" w:rsidR="004774F4" w:rsidRPr="007D7061" w:rsidRDefault="004774F4" w:rsidP="004774F4">
            <w:pPr>
              <w:pStyle w:val="NoSpacing"/>
              <w:rPr>
                <w:sz w:val="20"/>
                <w:szCs w:val="20"/>
                <w:lang w:val="en-AU"/>
              </w:rPr>
            </w:pPr>
            <w:r w:rsidRPr="007D7061">
              <w:rPr>
                <w:sz w:val="20"/>
                <w:szCs w:val="20"/>
                <w:lang w:val="en-AU"/>
              </w:rPr>
              <w:t xml:space="preserve">Weekly, </w:t>
            </w:r>
            <w:proofErr w:type="gramStart"/>
            <w:r w:rsidRPr="007D7061">
              <w:rPr>
                <w:sz w:val="20"/>
                <w:szCs w:val="20"/>
                <w:lang w:val="en-AU"/>
              </w:rPr>
              <w:t>Monthly  &amp;</w:t>
            </w:r>
            <w:proofErr w:type="gramEnd"/>
            <w:r w:rsidRPr="007D7061">
              <w:rPr>
                <w:sz w:val="20"/>
                <w:szCs w:val="20"/>
                <w:lang w:val="en-AU"/>
              </w:rPr>
              <w:t xml:space="preserve"> Quarterly</w:t>
            </w:r>
          </w:p>
        </w:tc>
        <w:tc>
          <w:tcPr>
            <w:tcW w:w="2823" w:type="dxa"/>
          </w:tcPr>
          <w:p w14:paraId="3D52561A" w14:textId="77777777" w:rsidR="004774F4" w:rsidRPr="007D7061" w:rsidRDefault="004774F4" w:rsidP="004774F4">
            <w:pPr>
              <w:pStyle w:val="NoSpacing"/>
              <w:rPr>
                <w:sz w:val="20"/>
                <w:szCs w:val="20"/>
                <w:lang w:val="en-AU"/>
              </w:rPr>
            </w:pPr>
            <w:r w:rsidRPr="007D7061">
              <w:rPr>
                <w:sz w:val="20"/>
                <w:szCs w:val="20"/>
                <w:lang w:val="en-AU"/>
              </w:rPr>
              <w:t xml:space="preserve">#/% of delays in procurement processing </w:t>
            </w:r>
          </w:p>
          <w:p w14:paraId="25CF3900" w14:textId="1ABDEAB4" w:rsidR="004774F4" w:rsidRPr="007D7061" w:rsidRDefault="004774F4" w:rsidP="004774F4">
            <w:pPr>
              <w:pStyle w:val="NoSpacing"/>
              <w:rPr>
                <w:sz w:val="20"/>
                <w:szCs w:val="20"/>
                <w:lang w:val="en-AU"/>
              </w:rPr>
            </w:pPr>
            <w:r w:rsidRPr="007D7061">
              <w:rPr>
                <w:sz w:val="20"/>
                <w:szCs w:val="20"/>
                <w:lang w:val="en-AU"/>
              </w:rPr>
              <w:t>&amp; quarterly report within 2wk (4)</w:t>
            </w:r>
          </w:p>
        </w:tc>
      </w:tr>
      <w:tr w:rsidR="004774F4" w:rsidRPr="007D7061" w14:paraId="2B6C548D" w14:textId="77777777" w:rsidTr="00C72B0D">
        <w:trPr>
          <w:trHeight w:val="62"/>
        </w:trPr>
        <w:tc>
          <w:tcPr>
            <w:tcW w:w="4252" w:type="dxa"/>
          </w:tcPr>
          <w:p w14:paraId="09FF097B" w14:textId="2DE2E9B6" w:rsidR="004774F4" w:rsidRPr="007D7061" w:rsidRDefault="000C7275" w:rsidP="000C7275">
            <w:pPr>
              <w:pStyle w:val="NoSpacing"/>
              <w:rPr>
                <w:sz w:val="20"/>
                <w:szCs w:val="20"/>
                <w:lang w:val="en-AU"/>
              </w:rPr>
            </w:pPr>
            <w:r w:rsidRPr="007D7061">
              <w:rPr>
                <w:sz w:val="20"/>
                <w:szCs w:val="20"/>
                <w:lang w:val="en-AU"/>
              </w:rPr>
              <w:t xml:space="preserve">Prepare the project weekly, monthly quarterly </w:t>
            </w:r>
            <w:r w:rsidR="002E09AE" w:rsidRPr="007D7061">
              <w:rPr>
                <w:sz w:val="20"/>
                <w:szCs w:val="20"/>
                <w:lang w:val="en-AU"/>
              </w:rPr>
              <w:t>E&amp;S</w:t>
            </w:r>
            <w:r w:rsidRPr="007D7061">
              <w:rPr>
                <w:sz w:val="20"/>
                <w:szCs w:val="20"/>
                <w:lang w:val="en-AU"/>
              </w:rPr>
              <w:t xml:space="preserve"> Progress Reports within the timeline </w:t>
            </w:r>
          </w:p>
        </w:tc>
        <w:tc>
          <w:tcPr>
            <w:tcW w:w="1713" w:type="dxa"/>
          </w:tcPr>
          <w:p w14:paraId="181B68E3" w14:textId="14112551" w:rsidR="004774F4" w:rsidRPr="007D7061" w:rsidRDefault="001F0645" w:rsidP="00C72B0D">
            <w:pPr>
              <w:pStyle w:val="NoSpacing"/>
              <w:rPr>
                <w:sz w:val="20"/>
                <w:szCs w:val="20"/>
                <w:lang w:val="en-AU"/>
              </w:rPr>
            </w:pPr>
            <w:r w:rsidRPr="007D7061">
              <w:rPr>
                <w:sz w:val="20"/>
                <w:szCs w:val="20"/>
                <w:lang w:val="en-AU"/>
              </w:rPr>
              <w:t xml:space="preserve">Weekly, </w:t>
            </w:r>
            <w:proofErr w:type="gramStart"/>
            <w:r w:rsidRPr="007D7061">
              <w:rPr>
                <w:sz w:val="20"/>
                <w:szCs w:val="20"/>
                <w:lang w:val="en-AU"/>
              </w:rPr>
              <w:t>Monthly  &amp;</w:t>
            </w:r>
            <w:proofErr w:type="gramEnd"/>
            <w:r w:rsidRPr="007D7061">
              <w:rPr>
                <w:sz w:val="20"/>
                <w:szCs w:val="20"/>
                <w:lang w:val="en-AU"/>
              </w:rPr>
              <w:t xml:space="preserve"> Quarterly</w:t>
            </w:r>
          </w:p>
        </w:tc>
        <w:tc>
          <w:tcPr>
            <w:tcW w:w="2823" w:type="dxa"/>
          </w:tcPr>
          <w:p w14:paraId="6E937E97" w14:textId="1E8C9B40" w:rsidR="004774F4" w:rsidRPr="007D7061" w:rsidRDefault="000C7275" w:rsidP="00C72B0D">
            <w:pPr>
              <w:pStyle w:val="NoSpacing"/>
              <w:rPr>
                <w:sz w:val="20"/>
                <w:szCs w:val="20"/>
                <w:lang w:val="en-AU"/>
              </w:rPr>
            </w:pPr>
            <w:r w:rsidRPr="007D7061">
              <w:rPr>
                <w:sz w:val="20"/>
                <w:szCs w:val="20"/>
                <w:lang w:val="en-AU"/>
              </w:rPr>
              <w:t>Target: weekly report, 12 monthly reports, 4 quarterly reports</w:t>
            </w:r>
          </w:p>
        </w:tc>
      </w:tr>
      <w:bookmarkEnd w:id="19"/>
    </w:tbl>
    <w:p w14:paraId="7E1F3E82" w14:textId="40EBA9E0" w:rsidR="002E09AE" w:rsidRPr="007D7061" w:rsidRDefault="002E09AE" w:rsidP="004774F4">
      <w:pPr>
        <w:jc w:val="both"/>
        <w:rPr>
          <w:rFonts w:ascii="Times New Roman" w:hAnsi="Times New Roman" w:cs="Times New Roman"/>
          <w:b/>
          <w:i/>
          <w:u w:val="single"/>
        </w:rPr>
      </w:pPr>
    </w:p>
    <w:p w14:paraId="6CB670FB" w14:textId="563A8FCF" w:rsidR="008F5102" w:rsidRPr="007D7061" w:rsidRDefault="008F5102" w:rsidP="000E0027">
      <w:pPr>
        <w:pStyle w:val="ListParagraph"/>
        <w:numPr>
          <w:ilvl w:val="0"/>
          <w:numId w:val="1"/>
        </w:numPr>
        <w:jc w:val="both"/>
        <w:rPr>
          <w:rFonts w:ascii="Times New Roman" w:hAnsi="Times New Roman" w:cs="Times New Roman"/>
          <w:b/>
          <w:i/>
          <w:u w:val="single"/>
        </w:rPr>
      </w:pPr>
      <w:bookmarkStart w:id="23" w:name="_Hlk171287859"/>
      <w:bookmarkStart w:id="24" w:name="_Hlk171415473"/>
      <w:bookmarkEnd w:id="16"/>
      <w:bookmarkEnd w:id="17"/>
      <w:r w:rsidRPr="007D7061">
        <w:rPr>
          <w:rFonts w:ascii="Times New Roman" w:hAnsi="Times New Roman" w:cs="Times New Roman"/>
          <w:b/>
          <w:i/>
          <w:u w:val="single"/>
        </w:rPr>
        <w:t>Evaluation Criteria:</w:t>
      </w:r>
    </w:p>
    <w:p w14:paraId="7AAFAA20" w14:textId="365EF89A" w:rsidR="00CA45B0" w:rsidRPr="007D7061" w:rsidRDefault="00CA45B0" w:rsidP="00E3394D">
      <w:pPr>
        <w:spacing w:before="360" w:after="120" w:line="240" w:lineRule="auto"/>
        <w:rPr>
          <w:rFonts w:ascii="Times New Roman" w:eastAsia="Times New Roman" w:hAnsi="Times New Roman" w:cs="Times New Roman"/>
          <w:color w:val="2F5496" w:themeColor="accent5" w:themeShade="BF"/>
          <w:lang w:val="en-AU"/>
        </w:rPr>
      </w:pPr>
      <w:r w:rsidRPr="007D7061">
        <w:rPr>
          <w:rFonts w:ascii="Times New Roman" w:eastAsia="Times New Roman" w:hAnsi="Times New Roman" w:cs="Times New Roman"/>
        </w:rPr>
        <w:t>This section details the basis upon which selection of the successful candidate will be based.</w:t>
      </w:r>
      <w:r w:rsidR="00E3394D" w:rsidRPr="007D7061">
        <w:rPr>
          <w:rFonts w:ascii="Times New Roman" w:eastAsia="Times New Roman" w:hAnsi="Times New Roman" w:cs="Times New Roman"/>
          <w:color w:val="2F5496" w:themeColor="accent5" w:themeShade="BF"/>
          <w:lang w:val="en-AU"/>
        </w:rPr>
        <w:t xml:space="preserve"> </w:t>
      </w:r>
      <w:r w:rsidRPr="007D7061">
        <w:rPr>
          <w:rFonts w:ascii="Times New Roman" w:eastAsia="Times New Roman" w:hAnsi="Times New Roman" w:cs="Times New Roman"/>
          <w:b/>
          <w:bCs/>
          <w:lang w:val="en-AU"/>
        </w:rPr>
        <w:t xml:space="preserve">Mandatory Criteria – </w:t>
      </w:r>
      <w:r w:rsidRPr="007D7061">
        <w:rPr>
          <w:rFonts w:ascii="Times New Roman" w:eastAsia="Times New Roman" w:hAnsi="Times New Roman" w:cs="Times New Roman"/>
          <w:lang w:val="en-AU"/>
        </w:rPr>
        <w:t>These criteria must be met to be considered for this contract. The candidate will possess high levels of personal and working integrity and ethics.</w:t>
      </w:r>
    </w:p>
    <w:tbl>
      <w:tblPr>
        <w:tblStyle w:val="TableGrid"/>
        <w:tblW w:w="9628" w:type="dxa"/>
        <w:tblLook w:val="04A0" w:firstRow="1" w:lastRow="0" w:firstColumn="1" w:lastColumn="0" w:noHBand="0" w:noVBand="1"/>
      </w:tblPr>
      <w:tblGrid>
        <w:gridCol w:w="2795"/>
        <w:gridCol w:w="4713"/>
        <w:gridCol w:w="2120"/>
      </w:tblGrid>
      <w:tr w:rsidR="00CA45B0" w:rsidRPr="007D7061" w14:paraId="6792CA3C" w14:textId="77777777" w:rsidTr="00504745">
        <w:trPr>
          <w:trHeight w:val="255"/>
        </w:trPr>
        <w:tc>
          <w:tcPr>
            <w:tcW w:w="2795" w:type="dxa"/>
            <w:shd w:val="clear" w:color="auto" w:fill="D9E2F3" w:themeFill="accent5" w:themeFillTint="33"/>
          </w:tcPr>
          <w:p w14:paraId="401E9732" w14:textId="77777777" w:rsidR="00CA45B0" w:rsidRPr="007D7061" w:rsidRDefault="00CA45B0" w:rsidP="00CA45B0">
            <w:pPr>
              <w:spacing w:before="60" w:after="60"/>
              <w:rPr>
                <w:rFonts w:ascii="Times New Roman" w:eastAsia="Times New Roman" w:hAnsi="Times New Roman"/>
                <w:smallCaps/>
                <w:color w:val="4472C4" w:themeColor="accent5"/>
                <w:lang w:val="en-AU"/>
              </w:rPr>
            </w:pPr>
            <w:r w:rsidRPr="007D7061">
              <w:rPr>
                <w:rFonts w:ascii="Times New Roman" w:eastAsia="Times New Roman" w:hAnsi="Times New Roman" w:cstheme="minorBidi"/>
                <w:b/>
                <w:bCs/>
                <w:color w:val="4472C4" w:themeColor="accent5"/>
                <w:lang w:val="en-AU"/>
              </w:rPr>
              <w:t>Mandatory Criteria</w:t>
            </w:r>
          </w:p>
        </w:tc>
        <w:tc>
          <w:tcPr>
            <w:tcW w:w="4713" w:type="dxa"/>
            <w:shd w:val="clear" w:color="auto" w:fill="D9E2F3" w:themeFill="accent5" w:themeFillTint="33"/>
          </w:tcPr>
          <w:p w14:paraId="709B1F85" w14:textId="77777777" w:rsidR="00CA45B0" w:rsidRPr="007D7061" w:rsidRDefault="00CA45B0" w:rsidP="00CA45B0">
            <w:pPr>
              <w:spacing w:before="60" w:after="60"/>
              <w:rPr>
                <w:rFonts w:ascii="Times New Roman" w:eastAsia="Times New Roman" w:hAnsi="Times New Roman"/>
                <w:b/>
                <w:bCs/>
                <w:color w:val="4472C4" w:themeColor="accent5"/>
                <w:lang w:val="en-AU"/>
              </w:rPr>
            </w:pPr>
            <w:r w:rsidRPr="007D7061">
              <w:rPr>
                <w:rFonts w:ascii="Times New Roman" w:eastAsia="Times New Roman" w:hAnsi="Times New Roman" w:cstheme="minorBidi"/>
                <w:b/>
                <w:bCs/>
                <w:color w:val="4472C4" w:themeColor="accent5"/>
                <w:lang w:val="en-AU"/>
              </w:rPr>
              <w:t>Description</w:t>
            </w:r>
          </w:p>
        </w:tc>
        <w:tc>
          <w:tcPr>
            <w:tcW w:w="2120" w:type="dxa"/>
            <w:shd w:val="clear" w:color="auto" w:fill="D9E2F3" w:themeFill="accent5" w:themeFillTint="33"/>
          </w:tcPr>
          <w:p w14:paraId="0A1520AA" w14:textId="77777777" w:rsidR="00CA45B0" w:rsidRPr="007D7061" w:rsidRDefault="00CA45B0" w:rsidP="00CA45B0">
            <w:pPr>
              <w:spacing w:before="60" w:after="60"/>
              <w:rPr>
                <w:rFonts w:ascii="Times New Roman" w:eastAsia="Times New Roman" w:hAnsi="Times New Roman"/>
                <w:b/>
                <w:bCs/>
                <w:color w:val="4472C4" w:themeColor="accent5"/>
                <w:lang w:val="en-AU"/>
              </w:rPr>
            </w:pPr>
            <w:r w:rsidRPr="007D7061">
              <w:rPr>
                <w:rFonts w:ascii="Times New Roman" w:eastAsia="Times New Roman" w:hAnsi="Times New Roman" w:cstheme="minorBidi"/>
                <w:b/>
                <w:bCs/>
                <w:color w:val="4472C4" w:themeColor="accent5"/>
                <w:lang w:val="en-AU"/>
              </w:rPr>
              <w:t xml:space="preserve">Pass or </w:t>
            </w:r>
            <w:proofErr w:type="gramStart"/>
            <w:r w:rsidRPr="007D7061">
              <w:rPr>
                <w:rFonts w:ascii="Times New Roman" w:eastAsia="Times New Roman" w:hAnsi="Times New Roman" w:cstheme="minorBidi"/>
                <w:b/>
                <w:bCs/>
                <w:color w:val="4472C4" w:themeColor="accent5"/>
                <w:lang w:val="en-AU"/>
              </w:rPr>
              <w:t>Fail</w:t>
            </w:r>
            <w:proofErr w:type="gramEnd"/>
          </w:p>
        </w:tc>
      </w:tr>
      <w:tr w:rsidR="00CA45B0" w:rsidRPr="007D7061" w14:paraId="1C1F59ED" w14:textId="77777777" w:rsidTr="00504745">
        <w:trPr>
          <w:trHeight w:val="255"/>
        </w:trPr>
        <w:tc>
          <w:tcPr>
            <w:tcW w:w="2795" w:type="dxa"/>
          </w:tcPr>
          <w:p w14:paraId="05654DA5" w14:textId="77777777" w:rsidR="00CA45B0" w:rsidRPr="007D7061" w:rsidRDefault="00CA45B0" w:rsidP="00CA45B0">
            <w:pPr>
              <w:spacing w:before="60" w:after="60"/>
              <w:rPr>
                <w:rFonts w:ascii="Times New Roman" w:eastAsia="Times New Roman" w:hAnsi="Times New Roman"/>
                <w:b/>
                <w:bCs/>
                <w:lang w:val="en-AU"/>
              </w:rPr>
            </w:pPr>
            <w:r w:rsidRPr="007D7061">
              <w:rPr>
                <w:rFonts w:ascii="Times New Roman" w:eastAsia="Times New Roman" w:hAnsi="Times New Roman" w:cstheme="minorBidi"/>
                <w:b/>
                <w:bCs/>
                <w:lang w:val="en-AU"/>
              </w:rPr>
              <w:t xml:space="preserve">Education </w:t>
            </w:r>
          </w:p>
        </w:tc>
        <w:tc>
          <w:tcPr>
            <w:tcW w:w="4713" w:type="dxa"/>
          </w:tcPr>
          <w:p w14:paraId="1A60715C" w14:textId="77777777" w:rsidR="00CA45B0" w:rsidRPr="007D7061" w:rsidRDefault="00CA45B0" w:rsidP="00CA45B0">
            <w:pPr>
              <w:rPr>
                <w:rFonts w:ascii="Times New Roman" w:eastAsia="Times New Roman" w:hAnsi="Times New Roman"/>
                <w:smallCaps/>
                <w:lang w:val="en-AU"/>
              </w:rPr>
            </w:pPr>
            <w:bookmarkStart w:id="25" w:name="_Hlk213080636"/>
            <w:r w:rsidRPr="007D7061">
              <w:rPr>
                <w:rFonts w:ascii="Times New Roman" w:eastAsia="Times New Roman" w:hAnsi="Times New Roman"/>
              </w:rPr>
              <w:t>A bachelor’s degree from a tertiary institution in a relevant discipline such as, social sciences environmental or similar disciplines.</w:t>
            </w:r>
            <w:bookmarkEnd w:id="25"/>
          </w:p>
        </w:tc>
        <w:tc>
          <w:tcPr>
            <w:tcW w:w="2120" w:type="dxa"/>
          </w:tcPr>
          <w:p w14:paraId="00E995AA"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cstheme="minorBidi"/>
                <w:lang w:val="en-AU"/>
              </w:rPr>
              <w:t xml:space="preserve">Pass or </w:t>
            </w:r>
            <w:proofErr w:type="gramStart"/>
            <w:r w:rsidRPr="007D7061">
              <w:rPr>
                <w:rFonts w:ascii="Times New Roman" w:eastAsia="Times New Roman" w:hAnsi="Times New Roman" w:cstheme="minorBidi"/>
                <w:lang w:val="en-AU"/>
              </w:rPr>
              <w:t>Fail</w:t>
            </w:r>
            <w:proofErr w:type="gramEnd"/>
          </w:p>
        </w:tc>
      </w:tr>
      <w:tr w:rsidR="00CA45B0" w:rsidRPr="007D7061" w14:paraId="5D1D5D44" w14:textId="77777777" w:rsidTr="00504745">
        <w:trPr>
          <w:trHeight w:val="255"/>
        </w:trPr>
        <w:tc>
          <w:tcPr>
            <w:tcW w:w="2795" w:type="dxa"/>
          </w:tcPr>
          <w:p w14:paraId="79C9914B" w14:textId="77777777" w:rsidR="00CA45B0" w:rsidRPr="007D7061" w:rsidRDefault="00CA45B0" w:rsidP="00CA45B0">
            <w:pPr>
              <w:spacing w:before="60" w:after="60"/>
              <w:rPr>
                <w:rFonts w:ascii="Times New Roman" w:eastAsia="Times New Roman" w:hAnsi="Times New Roman"/>
                <w:b/>
                <w:bCs/>
                <w:lang w:val="en-AU"/>
              </w:rPr>
            </w:pPr>
            <w:r w:rsidRPr="007D7061">
              <w:rPr>
                <w:rFonts w:ascii="Times New Roman" w:eastAsia="Times New Roman" w:hAnsi="Times New Roman" w:cstheme="minorBidi"/>
                <w:b/>
                <w:bCs/>
                <w:lang w:val="en-AU"/>
              </w:rPr>
              <w:t>Experience</w:t>
            </w:r>
          </w:p>
        </w:tc>
        <w:tc>
          <w:tcPr>
            <w:tcW w:w="4713" w:type="dxa"/>
          </w:tcPr>
          <w:p w14:paraId="44D7D86E" w14:textId="06685691" w:rsidR="00CA45B0" w:rsidRPr="007D7061" w:rsidRDefault="00CA45B0" w:rsidP="00CA45B0">
            <w:pPr>
              <w:rPr>
                <w:rFonts w:ascii="Times New Roman" w:eastAsia="Times New Roman" w:hAnsi="Times New Roman"/>
                <w:bCs/>
                <w:lang w:val="en-AU"/>
              </w:rPr>
            </w:pPr>
            <w:bookmarkStart w:id="26" w:name="_Hlk213080660"/>
            <w:r w:rsidRPr="007D7061">
              <w:rPr>
                <w:rFonts w:ascii="Times New Roman" w:eastAsia="Times New Roman" w:hAnsi="Times New Roman"/>
              </w:rPr>
              <w:t xml:space="preserve">A minimum of </w:t>
            </w:r>
            <w:r w:rsidR="00EA12A7" w:rsidRPr="007D7061">
              <w:rPr>
                <w:rFonts w:ascii="Times New Roman" w:eastAsia="Times New Roman" w:hAnsi="Times New Roman"/>
              </w:rPr>
              <w:t>3</w:t>
            </w:r>
            <w:r w:rsidRPr="007D7061">
              <w:rPr>
                <w:rFonts w:ascii="Times New Roman" w:eastAsia="Times New Roman" w:hAnsi="Times New Roman"/>
              </w:rPr>
              <w:t xml:space="preserve"> years of professional experience in managing environmental, social safeguards, health, and safety risks, as evidenced in the CV</w:t>
            </w:r>
            <w:bookmarkEnd w:id="26"/>
          </w:p>
        </w:tc>
        <w:tc>
          <w:tcPr>
            <w:tcW w:w="2120" w:type="dxa"/>
          </w:tcPr>
          <w:p w14:paraId="2796BEAB"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cstheme="minorBidi"/>
                <w:lang w:val="en-AU"/>
              </w:rPr>
              <w:t xml:space="preserve">Pass or </w:t>
            </w:r>
            <w:proofErr w:type="gramStart"/>
            <w:r w:rsidRPr="007D7061">
              <w:rPr>
                <w:rFonts w:ascii="Times New Roman" w:eastAsia="Times New Roman" w:hAnsi="Times New Roman" w:cstheme="minorBidi"/>
                <w:lang w:val="en-AU"/>
              </w:rPr>
              <w:t>Fail</w:t>
            </w:r>
            <w:proofErr w:type="gramEnd"/>
          </w:p>
        </w:tc>
      </w:tr>
    </w:tbl>
    <w:p w14:paraId="4A8FEDEB" w14:textId="77777777" w:rsidR="00CA45B0" w:rsidRPr="007D7061" w:rsidRDefault="00CA45B0" w:rsidP="00E3394D">
      <w:pPr>
        <w:spacing w:before="120" w:after="120" w:line="240" w:lineRule="auto"/>
        <w:jc w:val="both"/>
        <w:rPr>
          <w:rFonts w:ascii="Times New Roman" w:eastAsia="Times New Roman" w:hAnsi="Times New Roman" w:cs="Times New Roman"/>
          <w:b/>
          <w:bCs/>
          <w:lang w:val="en-AU"/>
        </w:rPr>
      </w:pPr>
      <w:r w:rsidRPr="007D7061">
        <w:rPr>
          <w:rFonts w:ascii="Times New Roman" w:eastAsia="Times New Roman" w:hAnsi="Times New Roman" w:cs="Times New Roman"/>
          <w:b/>
          <w:bCs/>
          <w:color w:val="4472C4" w:themeColor="accent5"/>
          <w:lang w:val="en-AU"/>
        </w:rPr>
        <w:t xml:space="preserve">Desirable Criteria – </w:t>
      </w:r>
      <w:r w:rsidRPr="007D7061">
        <w:rPr>
          <w:rFonts w:ascii="Times New Roman" w:eastAsia="Times New Roman" w:hAnsi="Times New Roman" w:cs="Times New Roman"/>
          <w:lang w:val="en-AU"/>
        </w:rPr>
        <w:t xml:space="preserve">These criteria are requirements or qualities that are not mandatory but would be considered beneficial if they are met and will be scored as outlined. </w:t>
      </w:r>
    </w:p>
    <w:tbl>
      <w:tblPr>
        <w:tblStyle w:val="TableGrid"/>
        <w:tblW w:w="0" w:type="auto"/>
        <w:tblLook w:val="04A0" w:firstRow="1" w:lastRow="0" w:firstColumn="1" w:lastColumn="0" w:noHBand="0" w:noVBand="1"/>
      </w:tblPr>
      <w:tblGrid>
        <w:gridCol w:w="2753"/>
        <w:gridCol w:w="4520"/>
        <w:gridCol w:w="2077"/>
      </w:tblGrid>
      <w:tr w:rsidR="00CA45B0" w:rsidRPr="007D7061" w14:paraId="10C03CB1" w14:textId="77777777" w:rsidTr="00504745">
        <w:tc>
          <w:tcPr>
            <w:tcW w:w="7508" w:type="dxa"/>
            <w:gridSpan w:val="2"/>
            <w:shd w:val="clear" w:color="auto" w:fill="D9E2F3" w:themeFill="accent5" w:themeFillTint="33"/>
            <w:vAlign w:val="center"/>
          </w:tcPr>
          <w:p w14:paraId="0EA71FA6" w14:textId="19608898" w:rsidR="00CA45B0" w:rsidRPr="007D7061" w:rsidRDefault="005F3E31" w:rsidP="00CA45B0">
            <w:pPr>
              <w:spacing w:before="60" w:after="60"/>
              <w:jc w:val="center"/>
              <w:rPr>
                <w:rFonts w:ascii="Times New Roman" w:eastAsia="Times New Roman" w:hAnsi="Times New Roman"/>
                <w:smallCaps/>
                <w:color w:val="2F5496" w:themeColor="accent5" w:themeShade="BF"/>
                <w:lang w:val="en-AU"/>
              </w:rPr>
            </w:pPr>
            <w:r w:rsidRPr="007D7061">
              <w:rPr>
                <w:rFonts w:ascii="Times New Roman" w:eastAsia="Times New Roman" w:hAnsi="Times New Roman"/>
                <w:b/>
                <w:bCs/>
                <w:color w:val="2F5496" w:themeColor="accent5" w:themeShade="BF"/>
                <w:lang w:val="en-AU"/>
              </w:rPr>
              <w:t>Desirable</w:t>
            </w:r>
            <w:r w:rsidR="00CA45B0" w:rsidRPr="007D7061">
              <w:rPr>
                <w:rFonts w:ascii="Times New Roman" w:eastAsia="Times New Roman" w:hAnsi="Times New Roman" w:cstheme="minorBidi"/>
                <w:b/>
                <w:bCs/>
                <w:color w:val="2F5496" w:themeColor="accent5" w:themeShade="BF"/>
                <w:lang w:val="en-AU"/>
              </w:rPr>
              <w:t xml:space="preserve"> Criteria</w:t>
            </w:r>
          </w:p>
        </w:tc>
        <w:tc>
          <w:tcPr>
            <w:tcW w:w="2120" w:type="dxa"/>
            <w:shd w:val="clear" w:color="auto" w:fill="D9E2F3" w:themeFill="accent5" w:themeFillTint="33"/>
          </w:tcPr>
          <w:p w14:paraId="3C75DD86" w14:textId="77777777" w:rsidR="00CA45B0" w:rsidRPr="007D7061" w:rsidRDefault="00CA45B0" w:rsidP="00CA45B0">
            <w:pPr>
              <w:spacing w:before="60" w:after="60"/>
              <w:jc w:val="center"/>
              <w:rPr>
                <w:rFonts w:ascii="Times New Roman" w:eastAsia="Times New Roman" w:hAnsi="Times New Roman"/>
                <w:smallCaps/>
                <w:color w:val="2F5496" w:themeColor="accent5" w:themeShade="BF"/>
                <w:lang w:val="en-AU"/>
              </w:rPr>
            </w:pPr>
            <w:r w:rsidRPr="007D7061">
              <w:rPr>
                <w:rFonts w:ascii="Times New Roman" w:eastAsia="Times New Roman" w:hAnsi="Times New Roman" w:cstheme="minorBidi"/>
                <w:b/>
                <w:bCs/>
                <w:color w:val="2F5496" w:themeColor="accent5" w:themeShade="BF"/>
                <w:lang w:val="en-AU"/>
              </w:rPr>
              <w:t>Evaluation Points Allocated (x/100)</w:t>
            </w:r>
          </w:p>
        </w:tc>
      </w:tr>
      <w:tr w:rsidR="00CA45B0" w:rsidRPr="007D7061" w14:paraId="55906202" w14:textId="77777777" w:rsidTr="00504745">
        <w:trPr>
          <w:trHeight w:val="944"/>
        </w:trPr>
        <w:tc>
          <w:tcPr>
            <w:tcW w:w="2830" w:type="dxa"/>
            <w:vMerge w:val="restart"/>
          </w:tcPr>
          <w:p w14:paraId="39E51211" w14:textId="77777777" w:rsidR="00CA45B0" w:rsidRPr="007D7061" w:rsidRDefault="00CA45B0" w:rsidP="00CA45B0">
            <w:pPr>
              <w:spacing w:before="60" w:after="60"/>
              <w:rPr>
                <w:rFonts w:ascii="Times New Roman" w:eastAsia="Times New Roman" w:hAnsi="Times New Roman"/>
                <w:b/>
                <w:bCs/>
                <w:lang w:val="en-AU"/>
              </w:rPr>
            </w:pPr>
            <w:r w:rsidRPr="007D7061">
              <w:rPr>
                <w:rFonts w:ascii="Times New Roman" w:eastAsia="Times New Roman" w:hAnsi="Times New Roman" w:cstheme="minorBidi"/>
                <w:b/>
                <w:bCs/>
                <w:lang w:val="en-AU"/>
              </w:rPr>
              <w:t>Experience relevant to the Project</w:t>
            </w:r>
          </w:p>
          <w:p w14:paraId="23F2DFC2" w14:textId="77777777" w:rsidR="00CA45B0" w:rsidRPr="007D7061" w:rsidRDefault="00CA45B0" w:rsidP="00CA45B0">
            <w:pPr>
              <w:spacing w:before="60" w:after="60"/>
              <w:rPr>
                <w:rFonts w:ascii="Times New Roman" w:eastAsia="Times New Roman" w:hAnsi="Times New Roman"/>
                <w:lang w:val="en-AU"/>
              </w:rPr>
            </w:pPr>
            <w:r w:rsidRPr="007D7061">
              <w:rPr>
                <w:rFonts w:ascii="Times New Roman" w:eastAsia="Times New Roman" w:hAnsi="Times New Roman" w:cstheme="minorBidi"/>
                <w:b/>
                <w:bCs/>
                <w:lang w:val="en-AU"/>
              </w:rPr>
              <w:t>100 Points</w:t>
            </w:r>
          </w:p>
          <w:p w14:paraId="377ED731" w14:textId="77777777" w:rsidR="00CA45B0" w:rsidRPr="007D7061" w:rsidRDefault="00CA45B0" w:rsidP="00CA45B0">
            <w:pPr>
              <w:spacing w:before="60" w:after="60"/>
              <w:rPr>
                <w:rFonts w:ascii="Times New Roman" w:eastAsia="Times New Roman" w:hAnsi="Times New Roman"/>
                <w:lang w:val="en-AU"/>
              </w:rPr>
            </w:pPr>
          </w:p>
        </w:tc>
        <w:tc>
          <w:tcPr>
            <w:tcW w:w="4678" w:type="dxa"/>
          </w:tcPr>
          <w:p w14:paraId="28FCD357" w14:textId="77777777" w:rsidR="00CA45B0" w:rsidRPr="007D7061" w:rsidRDefault="00CA45B0" w:rsidP="00CA45B0">
            <w:pPr>
              <w:spacing w:before="60" w:after="60"/>
              <w:rPr>
                <w:rFonts w:ascii="Times New Roman" w:eastAsia="Times New Roman" w:hAnsi="Times New Roman"/>
                <w:lang w:val="en-AU"/>
              </w:rPr>
            </w:pPr>
            <w:r w:rsidRPr="007D7061">
              <w:rPr>
                <w:rFonts w:ascii="Times New Roman" w:eastAsia="Times New Roman" w:hAnsi="Times New Roman"/>
                <w:lang w:val="en-AU"/>
              </w:rPr>
              <w:t>Three</w:t>
            </w:r>
            <w:r w:rsidR="00EA12A7" w:rsidRPr="007D7061">
              <w:rPr>
                <w:rFonts w:ascii="Times New Roman" w:eastAsia="Times New Roman" w:hAnsi="Times New Roman"/>
                <w:lang w:val="en-AU"/>
              </w:rPr>
              <w:t xml:space="preserve"> to </w:t>
            </w:r>
            <w:r w:rsidRPr="007D7061">
              <w:rPr>
                <w:rFonts w:ascii="Times New Roman" w:eastAsia="Times New Roman" w:hAnsi="Times New Roman"/>
                <w:lang w:val="en-AU"/>
              </w:rPr>
              <w:t xml:space="preserve">ten </w:t>
            </w:r>
            <w:r w:rsidR="00EA12A7" w:rsidRPr="007D7061">
              <w:rPr>
                <w:rFonts w:ascii="Times New Roman" w:eastAsia="Times New Roman" w:hAnsi="Times New Roman"/>
                <w:lang w:val="en-AU"/>
              </w:rPr>
              <w:t xml:space="preserve">(3 to 10) </w:t>
            </w:r>
            <w:r w:rsidRPr="007D7061">
              <w:rPr>
                <w:rFonts w:ascii="Times New Roman" w:eastAsia="Times New Roman" w:hAnsi="Times New Roman"/>
                <w:lang w:val="en-AU"/>
              </w:rPr>
              <w:t>years relevant experience in social risk management, social safeguarding or similar role.</w:t>
            </w:r>
          </w:p>
          <w:p w14:paraId="478794CB" w14:textId="643A9976" w:rsidR="006A16BF" w:rsidRPr="007D7061" w:rsidRDefault="006A16BF" w:rsidP="00CA45B0">
            <w:pPr>
              <w:spacing w:before="60" w:after="60"/>
              <w:rPr>
                <w:rFonts w:ascii="Times New Roman" w:eastAsia="Times New Roman" w:hAnsi="Times New Roman"/>
              </w:rPr>
            </w:pPr>
            <w:r w:rsidRPr="007D7061">
              <w:rPr>
                <w:rFonts w:ascii="Times New Roman" w:eastAsia="Times New Roman" w:hAnsi="Times New Roman"/>
              </w:rPr>
              <w:t xml:space="preserve">1 </w:t>
            </w:r>
            <w:r w:rsidR="00F27BB4" w:rsidRPr="007D7061">
              <w:rPr>
                <w:rFonts w:ascii="Times New Roman" w:eastAsia="Times New Roman" w:hAnsi="Times New Roman"/>
              </w:rPr>
              <w:t xml:space="preserve">to </w:t>
            </w:r>
            <w:r w:rsidRPr="007D7061">
              <w:rPr>
                <w:rFonts w:ascii="Times New Roman" w:eastAsia="Times New Roman" w:hAnsi="Times New Roman"/>
              </w:rPr>
              <w:t>less than 3 year</w:t>
            </w:r>
            <w:r w:rsidR="00F27BB4" w:rsidRPr="007D7061">
              <w:rPr>
                <w:rFonts w:ascii="Times New Roman" w:eastAsia="Times New Roman" w:hAnsi="Times New Roman"/>
              </w:rPr>
              <w:t>s’ experience</w:t>
            </w:r>
            <w:r w:rsidRPr="007D7061">
              <w:rPr>
                <w:rFonts w:ascii="Times New Roman" w:eastAsia="Times New Roman" w:hAnsi="Times New Roman"/>
              </w:rPr>
              <w:t>: No point</w:t>
            </w:r>
          </w:p>
          <w:p w14:paraId="1296A262" w14:textId="3AD1A064" w:rsidR="006A16BF" w:rsidRPr="007D7061" w:rsidRDefault="006A16BF" w:rsidP="00CA45B0">
            <w:pPr>
              <w:spacing w:before="60" w:after="60"/>
              <w:rPr>
                <w:rFonts w:ascii="Times New Roman" w:eastAsia="Times New Roman" w:hAnsi="Times New Roman"/>
              </w:rPr>
            </w:pPr>
            <w:r w:rsidRPr="007D7061">
              <w:rPr>
                <w:rFonts w:ascii="Times New Roman" w:eastAsia="Times New Roman" w:hAnsi="Times New Roman"/>
              </w:rPr>
              <w:t xml:space="preserve">3 </w:t>
            </w:r>
            <w:r w:rsidR="00F27BB4" w:rsidRPr="007D7061">
              <w:rPr>
                <w:rFonts w:ascii="Times New Roman" w:eastAsia="Times New Roman" w:hAnsi="Times New Roman"/>
              </w:rPr>
              <w:t>to</w:t>
            </w:r>
            <w:r w:rsidRPr="007D7061">
              <w:rPr>
                <w:rFonts w:ascii="Times New Roman" w:eastAsia="Times New Roman" w:hAnsi="Times New Roman"/>
              </w:rPr>
              <w:t xml:space="preserve"> 5</w:t>
            </w:r>
            <w:r w:rsidR="00F27BB4" w:rsidRPr="007D7061">
              <w:rPr>
                <w:rFonts w:ascii="Times New Roman" w:eastAsia="Times New Roman" w:hAnsi="Times New Roman"/>
              </w:rPr>
              <w:t xml:space="preserve"> </w:t>
            </w:r>
            <w:r w:rsidRPr="007D7061">
              <w:rPr>
                <w:rFonts w:ascii="Times New Roman" w:eastAsia="Times New Roman" w:hAnsi="Times New Roman"/>
              </w:rPr>
              <w:t>years’ experience:5 points</w:t>
            </w:r>
          </w:p>
          <w:p w14:paraId="40C352BC" w14:textId="1702E11D" w:rsidR="006A16BF" w:rsidRPr="007D7061" w:rsidRDefault="006A16BF" w:rsidP="00CA45B0">
            <w:pPr>
              <w:spacing w:before="60" w:after="60"/>
              <w:rPr>
                <w:rFonts w:ascii="Times New Roman" w:eastAsia="Times New Roman" w:hAnsi="Times New Roman"/>
              </w:rPr>
            </w:pPr>
            <w:r w:rsidRPr="007D7061">
              <w:rPr>
                <w:rFonts w:ascii="Times New Roman" w:eastAsia="Times New Roman" w:hAnsi="Times New Roman"/>
              </w:rPr>
              <w:t>5+ to 7 years’ experience:</w:t>
            </w:r>
            <w:r w:rsidR="00F27BB4" w:rsidRPr="007D7061">
              <w:rPr>
                <w:rFonts w:ascii="Times New Roman" w:eastAsia="Times New Roman" w:hAnsi="Times New Roman"/>
              </w:rPr>
              <w:t>10</w:t>
            </w:r>
            <w:r w:rsidRPr="007D7061">
              <w:rPr>
                <w:rFonts w:ascii="Times New Roman" w:eastAsia="Times New Roman" w:hAnsi="Times New Roman"/>
              </w:rPr>
              <w:t xml:space="preserve"> points</w:t>
            </w:r>
          </w:p>
          <w:p w14:paraId="181231BE" w14:textId="387F4649" w:rsidR="006A16BF" w:rsidRPr="007D7061" w:rsidRDefault="00F27BB4" w:rsidP="00CA45B0">
            <w:pPr>
              <w:spacing w:before="60" w:after="60"/>
              <w:rPr>
                <w:rFonts w:ascii="Times New Roman" w:eastAsia="Times New Roman" w:hAnsi="Times New Roman"/>
              </w:rPr>
            </w:pPr>
            <w:r w:rsidRPr="007D7061">
              <w:rPr>
                <w:rFonts w:ascii="Times New Roman" w:eastAsia="Times New Roman" w:hAnsi="Times New Roman"/>
              </w:rPr>
              <w:t xml:space="preserve">7+ 10 </w:t>
            </w:r>
            <w:proofErr w:type="gramStart"/>
            <w:r w:rsidRPr="007D7061">
              <w:rPr>
                <w:rFonts w:ascii="Times New Roman" w:eastAsia="Times New Roman" w:hAnsi="Times New Roman"/>
              </w:rPr>
              <w:t>years’</w:t>
            </w:r>
            <w:proofErr w:type="gramEnd"/>
            <w:r w:rsidRPr="007D7061">
              <w:rPr>
                <w:rFonts w:ascii="Times New Roman" w:eastAsia="Times New Roman" w:hAnsi="Times New Roman"/>
              </w:rPr>
              <w:t xml:space="preserve"> or more experience:15 points</w:t>
            </w:r>
          </w:p>
        </w:tc>
        <w:tc>
          <w:tcPr>
            <w:tcW w:w="2120" w:type="dxa"/>
            <w:vAlign w:val="center"/>
          </w:tcPr>
          <w:p w14:paraId="0D0B0FAE"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15</w:t>
            </w:r>
          </w:p>
          <w:p w14:paraId="7C654EE3" w14:textId="77777777" w:rsidR="00CA45B0" w:rsidRPr="007D7061" w:rsidRDefault="00CA45B0" w:rsidP="00CA45B0">
            <w:pPr>
              <w:spacing w:before="60" w:after="60"/>
              <w:rPr>
                <w:rFonts w:ascii="Times New Roman" w:eastAsia="Times New Roman" w:hAnsi="Times New Roman"/>
                <w:b/>
                <w:bCs/>
                <w:smallCaps/>
                <w:lang w:val="en-AU"/>
              </w:rPr>
            </w:pPr>
          </w:p>
        </w:tc>
      </w:tr>
      <w:tr w:rsidR="00CA45B0" w:rsidRPr="007D7061" w14:paraId="4F67E3AB" w14:textId="77777777" w:rsidTr="00504745">
        <w:trPr>
          <w:trHeight w:val="717"/>
        </w:trPr>
        <w:tc>
          <w:tcPr>
            <w:tcW w:w="2830" w:type="dxa"/>
            <w:vMerge/>
          </w:tcPr>
          <w:p w14:paraId="1F0CD732" w14:textId="77777777" w:rsidR="00CA45B0" w:rsidRPr="007D7061" w:rsidRDefault="00CA45B0" w:rsidP="00CA45B0">
            <w:pPr>
              <w:spacing w:before="60" w:after="60"/>
              <w:rPr>
                <w:rFonts w:ascii="Times New Roman" w:eastAsia="Times New Roman" w:hAnsi="Times New Roman"/>
                <w:b/>
                <w:bCs/>
                <w:lang w:val="en-AU"/>
              </w:rPr>
            </w:pPr>
          </w:p>
        </w:tc>
        <w:tc>
          <w:tcPr>
            <w:tcW w:w="4678" w:type="dxa"/>
          </w:tcPr>
          <w:p w14:paraId="4AA8654A" w14:textId="77777777" w:rsidR="00CA45B0" w:rsidRPr="007D7061" w:rsidRDefault="00CA45B0" w:rsidP="00CA45B0">
            <w:pPr>
              <w:spacing w:before="60" w:after="60"/>
              <w:jc w:val="both"/>
              <w:rPr>
                <w:rFonts w:ascii="Times New Roman" w:eastAsia="Times New Roman" w:hAnsi="Times New Roman"/>
                <w:i/>
                <w:iCs/>
                <w:smallCaps/>
                <w:lang w:val="en-AU"/>
              </w:rPr>
            </w:pPr>
            <w:r w:rsidRPr="007D7061">
              <w:rPr>
                <w:rFonts w:ascii="Times New Roman" w:eastAsia="Times New Roman" w:hAnsi="Times New Roman"/>
                <w:lang w:val="en-AU"/>
              </w:rPr>
              <w:t>Knowledge and experience in small island environment are preferred.</w:t>
            </w:r>
          </w:p>
        </w:tc>
        <w:tc>
          <w:tcPr>
            <w:tcW w:w="2120" w:type="dxa"/>
            <w:vAlign w:val="center"/>
          </w:tcPr>
          <w:p w14:paraId="3942B6B4"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10</w:t>
            </w:r>
          </w:p>
        </w:tc>
      </w:tr>
      <w:tr w:rsidR="00CA45B0" w:rsidRPr="007D7061" w14:paraId="6366B713" w14:textId="77777777" w:rsidTr="00504745">
        <w:trPr>
          <w:trHeight w:val="547"/>
        </w:trPr>
        <w:tc>
          <w:tcPr>
            <w:tcW w:w="2830" w:type="dxa"/>
            <w:vMerge/>
          </w:tcPr>
          <w:p w14:paraId="5F95ED83" w14:textId="77777777" w:rsidR="00CA45B0" w:rsidRPr="007D7061" w:rsidRDefault="00CA45B0" w:rsidP="00CA45B0">
            <w:pPr>
              <w:spacing w:before="60" w:after="60"/>
              <w:rPr>
                <w:rFonts w:ascii="Times New Roman" w:eastAsia="Times New Roman" w:hAnsi="Times New Roman"/>
                <w:b/>
                <w:bCs/>
                <w:lang w:val="en-AU"/>
              </w:rPr>
            </w:pPr>
          </w:p>
        </w:tc>
        <w:tc>
          <w:tcPr>
            <w:tcW w:w="4678" w:type="dxa"/>
          </w:tcPr>
          <w:p w14:paraId="15C5A4FE"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lang w:val="en-AU"/>
              </w:rPr>
              <w:t>Report preparation</w:t>
            </w:r>
          </w:p>
        </w:tc>
        <w:tc>
          <w:tcPr>
            <w:tcW w:w="2120" w:type="dxa"/>
            <w:vAlign w:val="center"/>
          </w:tcPr>
          <w:p w14:paraId="5A57550D"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15</w:t>
            </w:r>
          </w:p>
        </w:tc>
      </w:tr>
      <w:tr w:rsidR="00CA45B0" w:rsidRPr="007D7061" w14:paraId="5AC7C91F" w14:textId="77777777" w:rsidTr="00504745">
        <w:trPr>
          <w:trHeight w:val="661"/>
        </w:trPr>
        <w:tc>
          <w:tcPr>
            <w:tcW w:w="2830" w:type="dxa"/>
            <w:vMerge/>
          </w:tcPr>
          <w:p w14:paraId="768A4E8F" w14:textId="77777777" w:rsidR="00CA45B0" w:rsidRPr="007D7061" w:rsidRDefault="00CA45B0" w:rsidP="00CA45B0">
            <w:pPr>
              <w:spacing w:before="60" w:after="60"/>
              <w:rPr>
                <w:rFonts w:ascii="Times New Roman" w:eastAsia="Times New Roman" w:hAnsi="Times New Roman"/>
                <w:b/>
                <w:bCs/>
                <w:lang w:val="en-AU"/>
              </w:rPr>
            </w:pPr>
          </w:p>
        </w:tc>
        <w:tc>
          <w:tcPr>
            <w:tcW w:w="4678" w:type="dxa"/>
          </w:tcPr>
          <w:p w14:paraId="32F4AB0D"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lang w:val="en-AU"/>
              </w:rPr>
              <w:t>Knowledge of local standards and regulations</w:t>
            </w:r>
          </w:p>
        </w:tc>
        <w:tc>
          <w:tcPr>
            <w:tcW w:w="2120" w:type="dxa"/>
            <w:vAlign w:val="center"/>
          </w:tcPr>
          <w:p w14:paraId="6F52E929"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15</w:t>
            </w:r>
          </w:p>
        </w:tc>
      </w:tr>
      <w:tr w:rsidR="00CA45B0" w:rsidRPr="007D7061" w14:paraId="77CE0CB7" w14:textId="77777777" w:rsidTr="00504745">
        <w:trPr>
          <w:trHeight w:val="588"/>
        </w:trPr>
        <w:tc>
          <w:tcPr>
            <w:tcW w:w="2830" w:type="dxa"/>
            <w:vMerge/>
          </w:tcPr>
          <w:p w14:paraId="3D7B9496" w14:textId="77777777" w:rsidR="00CA45B0" w:rsidRPr="007D7061" w:rsidRDefault="00CA45B0" w:rsidP="00CA45B0">
            <w:pPr>
              <w:spacing w:before="60" w:after="60"/>
              <w:rPr>
                <w:rFonts w:ascii="Times New Roman" w:eastAsia="Times New Roman" w:hAnsi="Times New Roman"/>
                <w:b/>
                <w:bCs/>
                <w:lang w:val="en-AU"/>
              </w:rPr>
            </w:pPr>
          </w:p>
        </w:tc>
        <w:tc>
          <w:tcPr>
            <w:tcW w:w="4678" w:type="dxa"/>
          </w:tcPr>
          <w:p w14:paraId="49000EAA"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lang w:val="en-AU"/>
              </w:rPr>
              <w:t>Previous work experience on donor funded projects</w:t>
            </w:r>
          </w:p>
        </w:tc>
        <w:tc>
          <w:tcPr>
            <w:tcW w:w="2120" w:type="dxa"/>
            <w:vAlign w:val="center"/>
          </w:tcPr>
          <w:p w14:paraId="223F773C"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15</w:t>
            </w:r>
          </w:p>
        </w:tc>
      </w:tr>
      <w:tr w:rsidR="00CA45B0" w:rsidRPr="007D7061" w14:paraId="29950E84" w14:textId="77777777" w:rsidTr="00504745">
        <w:trPr>
          <w:trHeight w:val="1001"/>
        </w:trPr>
        <w:tc>
          <w:tcPr>
            <w:tcW w:w="2830" w:type="dxa"/>
            <w:vMerge/>
          </w:tcPr>
          <w:p w14:paraId="36CAB31B" w14:textId="77777777" w:rsidR="00CA45B0" w:rsidRPr="007D7061" w:rsidRDefault="00CA45B0" w:rsidP="00CA45B0">
            <w:pPr>
              <w:spacing w:before="60" w:after="60"/>
              <w:rPr>
                <w:rFonts w:ascii="Times New Roman" w:eastAsia="Times New Roman" w:hAnsi="Times New Roman"/>
                <w:b/>
                <w:bCs/>
                <w:lang w:val="en-AU"/>
              </w:rPr>
            </w:pPr>
          </w:p>
        </w:tc>
        <w:tc>
          <w:tcPr>
            <w:tcW w:w="4678" w:type="dxa"/>
          </w:tcPr>
          <w:p w14:paraId="1945D892"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lang w:val="en-AU"/>
              </w:rPr>
              <w:t>Demonstrable knowledge of social and environmental in relations to project management and policy formulation processes</w:t>
            </w:r>
          </w:p>
        </w:tc>
        <w:tc>
          <w:tcPr>
            <w:tcW w:w="2120" w:type="dxa"/>
            <w:vAlign w:val="center"/>
          </w:tcPr>
          <w:p w14:paraId="279210A3"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10</w:t>
            </w:r>
          </w:p>
        </w:tc>
      </w:tr>
      <w:tr w:rsidR="00CA45B0" w:rsidRPr="007D7061" w14:paraId="5472DB36" w14:textId="77777777" w:rsidTr="00504745">
        <w:trPr>
          <w:trHeight w:val="1001"/>
        </w:trPr>
        <w:tc>
          <w:tcPr>
            <w:tcW w:w="2830" w:type="dxa"/>
            <w:vMerge/>
          </w:tcPr>
          <w:p w14:paraId="565A9480" w14:textId="77777777" w:rsidR="00CA45B0" w:rsidRPr="007D7061" w:rsidRDefault="00CA45B0" w:rsidP="00CA45B0">
            <w:pPr>
              <w:spacing w:before="60" w:after="60"/>
              <w:rPr>
                <w:rFonts w:ascii="Times New Roman" w:eastAsia="Times New Roman" w:hAnsi="Times New Roman"/>
                <w:b/>
                <w:bCs/>
                <w:lang w:val="en-AU"/>
              </w:rPr>
            </w:pPr>
          </w:p>
        </w:tc>
        <w:tc>
          <w:tcPr>
            <w:tcW w:w="4678" w:type="dxa"/>
          </w:tcPr>
          <w:p w14:paraId="6BFFD554"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lang w:val="en-AU"/>
              </w:rPr>
              <w:t>Proficient at all aspects of computer skills including Word, Excel, PowerPoint, Internet research, Project Management Software and Data Entry</w:t>
            </w:r>
          </w:p>
        </w:tc>
        <w:tc>
          <w:tcPr>
            <w:tcW w:w="2120" w:type="dxa"/>
            <w:vAlign w:val="center"/>
          </w:tcPr>
          <w:p w14:paraId="50A7E7C2"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10</w:t>
            </w:r>
          </w:p>
        </w:tc>
      </w:tr>
      <w:tr w:rsidR="00CA45B0" w:rsidRPr="007D7061" w14:paraId="4A036E04" w14:textId="77777777" w:rsidTr="00504745">
        <w:trPr>
          <w:trHeight w:val="495"/>
        </w:trPr>
        <w:tc>
          <w:tcPr>
            <w:tcW w:w="2830" w:type="dxa"/>
            <w:vMerge/>
          </w:tcPr>
          <w:p w14:paraId="5550895F" w14:textId="77777777" w:rsidR="00CA45B0" w:rsidRPr="007D7061" w:rsidRDefault="00CA45B0" w:rsidP="00CA45B0">
            <w:pPr>
              <w:spacing w:before="60" w:after="60"/>
              <w:rPr>
                <w:rFonts w:ascii="Times New Roman" w:eastAsia="Times New Roman" w:hAnsi="Times New Roman"/>
                <w:b/>
                <w:bCs/>
                <w:lang w:val="en-AU"/>
              </w:rPr>
            </w:pPr>
          </w:p>
        </w:tc>
        <w:tc>
          <w:tcPr>
            <w:tcW w:w="4678" w:type="dxa"/>
          </w:tcPr>
          <w:p w14:paraId="0DB2EACA" w14:textId="77777777" w:rsidR="00CA45B0" w:rsidRPr="007D7061" w:rsidRDefault="00CA45B0" w:rsidP="00CA45B0">
            <w:pPr>
              <w:spacing w:before="60" w:after="60"/>
              <w:jc w:val="both"/>
              <w:rPr>
                <w:rFonts w:ascii="Times New Roman" w:eastAsia="Times New Roman" w:hAnsi="Times New Roman"/>
                <w:lang w:val="en-AU"/>
              </w:rPr>
            </w:pPr>
            <w:r w:rsidRPr="007D7061">
              <w:rPr>
                <w:rFonts w:ascii="Times New Roman" w:eastAsia="Times New Roman" w:hAnsi="Times New Roman"/>
                <w:lang w:val="en-AU"/>
              </w:rPr>
              <w:t xml:space="preserve">Fluency in oral and written English. </w:t>
            </w:r>
          </w:p>
        </w:tc>
        <w:tc>
          <w:tcPr>
            <w:tcW w:w="2120" w:type="dxa"/>
            <w:vAlign w:val="center"/>
          </w:tcPr>
          <w:p w14:paraId="23E602BA" w14:textId="77777777" w:rsidR="00CA45B0" w:rsidRPr="007D7061" w:rsidRDefault="00CA45B0" w:rsidP="00CA45B0">
            <w:pPr>
              <w:spacing w:before="60" w:after="60"/>
              <w:jc w:val="center"/>
              <w:rPr>
                <w:rFonts w:ascii="Times New Roman" w:eastAsia="Times New Roman" w:hAnsi="Times New Roman"/>
                <w:b/>
                <w:bCs/>
                <w:smallCaps/>
                <w:lang w:val="en-AU"/>
              </w:rPr>
            </w:pPr>
            <w:r w:rsidRPr="007D7061">
              <w:rPr>
                <w:rFonts w:ascii="Times New Roman" w:eastAsia="Times New Roman" w:hAnsi="Times New Roman" w:cstheme="minorBidi"/>
                <w:b/>
                <w:bCs/>
                <w:smallCaps/>
                <w:lang w:val="en-AU"/>
              </w:rPr>
              <w:t>10</w:t>
            </w:r>
          </w:p>
        </w:tc>
      </w:tr>
    </w:tbl>
    <w:p w14:paraId="4016C60D" w14:textId="77777777" w:rsidR="00ED1E5D" w:rsidRPr="007D7061" w:rsidRDefault="00ED1E5D" w:rsidP="00647EEF">
      <w:pPr>
        <w:spacing w:after="0" w:line="240" w:lineRule="auto"/>
        <w:ind w:firstLine="720"/>
        <w:jc w:val="both"/>
        <w:rPr>
          <w:rFonts w:ascii="Times New Roman" w:eastAsia="SimSun" w:hAnsi="Times New Roman" w:cs="Times New Roman"/>
        </w:rPr>
      </w:pPr>
      <w:bookmarkStart w:id="27" w:name="_Hlk171289566"/>
      <w:bookmarkEnd w:id="23"/>
    </w:p>
    <w:p w14:paraId="7992253A" w14:textId="1E304285" w:rsidR="00774A02" w:rsidRPr="007D7061" w:rsidRDefault="008F5102" w:rsidP="000E0027">
      <w:pPr>
        <w:pStyle w:val="ListParagraph"/>
        <w:numPr>
          <w:ilvl w:val="0"/>
          <w:numId w:val="1"/>
        </w:numPr>
        <w:jc w:val="both"/>
        <w:rPr>
          <w:rFonts w:ascii="Times New Roman" w:hAnsi="Times New Roman" w:cs="Times New Roman"/>
          <w:b/>
          <w:i/>
          <w:u w:val="single"/>
        </w:rPr>
      </w:pPr>
      <w:bookmarkStart w:id="28" w:name="_Hlk176781774"/>
      <w:bookmarkEnd w:id="27"/>
      <w:r w:rsidRPr="007D7061">
        <w:rPr>
          <w:rFonts w:ascii="Times New Roman" w:hAnsi="Times New Roman" w:cs="Times New Roman"/>
          <w:b/>
          <w:i/>
          <w:u w:val="single"/>
        </w:rPr>
        <w:t>Institutional and Organization Arrangement</w:t>
      </w:r>
      <w:bookmarkEnd w:id="24"/>
    </w:p>
    <w:p w14:paraId="222DBD61" w14:textId="51F088F3" w:rsidR="00E3394D" w:rsidRPr="007D7061" w:rsidRDefault="00E3394D" w:rsidP="00E3394D">
      <w:pPr>
        <w:jc w:val="both"/>
        <w:rPr>
          <w:rFonts w:ascii="Times New Roman" w:hAnsi="Times New Roman" w:cs="Times New Roman"/>
        </w:rPr>
      </w:pPr>
      <w:bookmarkStart w:id="29" w:name="_Hlk176699285"/>
      <w:bookmarkStart w:id="30" w:name="_Hlk171290262"/>
      <w:r w:rsidRPr="007D7061">
        <w:rPr>
          <w:rFonts w:ascii="Times New Roman" w:hAnsi="Times New Roman" w:cs="Times New Roman"/>
          <w:color w:val="000000" w:themeColor="text1"/>
        </w:rPr>
        <w:t xml:space="preserve">Ministry of Revenue and Customs and the Ministry of Infrastructure </w:t>
      </w:r>
      <w:r w:rsidRPr="007D7061">
        <w:rPr>
          <w:rFonts w:ascii="Times New Roman" w:hAnsi="Times New Roman" w:cs="Times New Roman"/>
        </w:rPr>
        <w:t xml:space="preserve">will provide </w:t>
      </w:r>
      <w:proofErr w:type="gramStart"/>
      <w:r w:rsidRPr="007D7061">
        <w:rPr>
          <w:rFonts w:ascii="Times New Roman" w:hAnsi="Times New Roman" w:cs="Times New Roman"/>
        </w:rPr>
        <w:t xml:space="preserve">the </w:t>
      </w:r>
      <w:r w:rsidRPr="007D7061">
        <w:rPr>
          <w:rFonts w:ascii="Times New Roman" w:eastAsia="Calibri" w:hAnsi="Times New Roman" w:cs="Times New Roman"/>
          <w:bCs/>
        </w:rPr>
        <w:t>ESSO</w:t>
      </w:r>
      <w:proofErr w:type="gramEnd"/>
      <w:r w:rsidRPr="007D7061">
        <w:rPr>
          <w:rFonts w:ascii="Times New Roman" w:hAnsi="Times New Roman" w:cs="Times New Roman"/>
        </w:rPr>
        <w:t xml:space="preserve"> access to data and materials relevant to the assignment. </w:t>
      </w:r>
      <w:r w:rsidRPr="007D7061">
        <w:rPr>
          <w:rFonts w:ascii="Times New Roman" w:hAnsi="Times New Roman" w:cs="Times New Roman"/>
          <w:color w:val="000000" w:themeColor="text1"/>
        </w:rPr>
        <w:t xml:space="preserve">Ministry of Revenue and Customs </w:t>
      </w:r>
      <w:r w:rsidRPr="007D7061">
        <w:rPr>
          <w:rFonts w:ascii="Times New Roman" w:hAnsi="Times New Roman" w:cs="Times New Roman"/>
        </w:rPr>
        <w:t xml:space="preserve">will provide office space, including office furniture, access to the IT equipment, stationery, internet, communications, and related utilities for the Consultant. </w:t>
      </w:r>
    </w:p>
    <w:p w14:paraId="0A7F4F2C" w14:textId="0B085956" w:rsidR="003C4A57" w:rsidRPr="007D7061" w:rsidRDefault="003C4A57" w:rsidP="004B634A">
      <w:pPr>
        <w:jc w:val="both"/>
        <w:rPr>
          <w:rFonts w:ascii="Times New Roman" w:hAnsi="Times New Roman" w:cs="Times New Roman"/>
        </w:rPr>
      </w:pPr>
      <w:r w:rsidRPr="007D7061">
        <w:rPr>
          <w:rFonts w:ascii="Times New Roman" w:hAnsi="Times New Roman" w:cs="Times New Roman"/>
        </w:rPr>
        <w:t xml:space="preserve">The </w:t>
      </w:r>
      <w:r w:rsidR="001B5C8C" w:rsidRPr="007D7061">
        <w:rPr>
          <w:rFonts w:ascii="Times New Roman" w:hAnsi="Times New Roman" w:cs="Times New Roman"/>
        </w:rPr>
        <w:t xml:space="preserve">E&amp;S Officer </w:t>
      </w:r>
      <w:r w:rsidRPr="007D7061">
        <w:rPr>
          <w:rFonts w:ascii="Times New Roman" w:hAnsi="Times New Roman" w:cs="Times New Roman"/>
        </w:rPr>
        <w:t xml:space="preserve">will be hired by the </w:t>
      </w:r>
      <w:r w:rsidR="00CC679A" w:rsidRPr="007D7061">
        <w:rPr>
          <w:rFonts w:ascii="Times New Roman" w:hAnsi="Times New Roman" w:cs="Times New Roman"/>
        </w:rPr>
        <w:t>IA</w:t>
      </w:r>
      <w:r w:rsidRPr="007D7061">
        <w:rPr>
          <w:rFonts w:ascii="Times New Roman" w:hAnsi="Times New Roman" w:cs="Times New Roman"/>
        </w:rPr>
        <w:t xml:space="preserve"> and will be posted to the </w:t>
      </w:r>
      <w:r w:rsidR="00CC679A" w:rsidRPr="007D7061">
        <w:rPr>
          <w:rFonts w:ascii="Times New Roman" w:hAnsi="Times New Roman" w:cs="Times New Roman"/>
        </w:rPr>
        <w:t>PMU</w:t>
      </w:r>
      <w:r w:rsidR="00E3394D" w:rsidRPr="007D7061">
        <w:rPr>
          <w:rFonts w:ascii="Times New Roman" w:hAnsi="Times New Roman" w:cs="Times New Roman"/>
        </w:rPr>
        <w:t xml:space="preserve">. </w:t>
      </w:r>
      <w:r w:rsidRPr="007D7061">
        <w:rPr>
          <w:rFonts w:ascii="Times New Roman" w:hAnsi="Times New Roman" w:cs="Times New Roman"/>
        </w:rPr>
        <w:t xml:space="preserve">The </w:t>
      </w:r>
      <w:r w:rsidR="001B5C8C" w:rsidRPr="007D7061">
        <w:rPr>
          <w:rFonts w:ascii="Times New Roman" w:hAnsi="Times New Roman" w:cs="Times New Roman"/>
        </w:rPr>
        <w:t xml:space="preserve">E&amp;S Officer </w:t>
      </w:r>
      <w:r w:rsidRPr="007D7061">
        <w:rPr>
          <w:rFonts w:ascii="Times New Roman" w:hAnsi="Times New Roman" w:cs="Times New Roman"/>
        </w:rPr>
        <w:t xml:space="preserve">is required to follow </w:t>
      </w:r>
      <w:r w:rsidR="00B96401" w:rsidRPr="007D7061">
        <w:rPr>
          <w:rFonts w:ascii="Times New Roman" w:hAnsi="Times New Roman" w:cs="Times New Roman"/>
        </w:rPr>
        <w:t>IA</w:t>
      </w:r>
      <w:r w:rsidRPr="007D7061">
        <w:rPr>
          <w:rFonts w:ascii="Times New Roman" w:hAnsi="Times New Roman" w:cs="Times New Roman"/>
        </w:rPr>
        <w:t>’s working hours, but depending on the business needs</w:t>
      </w:r>
      <w:r w:rsidR="00B95305" w:rsidRPr="007D7061">
        <w:rPr>
          <w:rFonts w:ascii="Times New Roman" w:hAnsi="Times New Roman" w:cs="Times New Roman"/>
        </w:rPr>
        <w:t xml:space="preserve"> </w:t>
      </w:r>
      <w:r w:rsidR="0046266A" w:rsidRPr="007D7061">
        <w:rPr>
          <w:rFonts w:ascii="Times New Roman" w:hAnsi="Times New Roman" w:cs="Times New Roman"/>
        </w:rPr>
        <w:t xml:space="preserve">the </w:t>
      </w:r>
      <w:r w:rsidR="001B5C8C" w:rsidRPr="007D7061">
        <w:rPr>
          <w:rFonts w:ascii="Times New Roman" w:hAnsi="Times New Roman" w:cs="Times New Roman"/>
        </w:rPr>
        <w:t xml:space="preserve">E&amp;S Officer </w:t>
      </w:r>
      <w:r w:rsidRPr="007D7061">
        <w:rPr>
          <w:rFonts w:ascii="Times New Roman" w:hAnsi="Times New Roman" w:cs="Times New Roman"/>
        </w:rPr>
        <w:t xml:space="preserve">may be requested to work extended hours. </w:t>
      </w:r>
    </w:p>
    <w:bookmarkEnd w:id="29"/>
    <w:p w14:paraId="510CEE80" w14:textId="20517E90" w:rsidR="003C4A57" w:rsidRPr="007D7061" w:rsidRDefault="003C4A57" w:rsidP="004B634A">
      <w:pPr>
        <w:jc w:val="both"/>
        <w:rPr>
          <w:rFonts w:ascii="Times New Roman" w:hAnsi="Times New Roman" w:cs="Times New Roman"/>
        </w:rPr>
      </w:pPr>
      <w:r w:rsidRPr="007D7061">
        <w:rPr>
          <w:rFonts w:ascii="Times New Roman" w:hAnsi="Times New Roman" w:cs="Times New Roman"/>
        </w:rPr>
        <w:t xml:space="preserve">The remuneration for the selected individual </w:t>
      </w:r>
      <w:r w:rsidR="001B5C8C" w:rsidRPr="007D7061">
        <w:rPr>
          <w:rFonts w:ascii="Times New Roman" w:hAnsi="Times New Roman" w:cs="Times New Roman"/>
        </w:rPr>
        <w:t xml:space="preserve">E&amp;S Officer </w:t>
      </w:r>
      <w:r w:rsidRPr="007D7061">
        <w:rPr>
          <w:rFonts w:ascii="Times New Roman" w:hAnsi="Times New Roman" w:cs="Times New Roman"/>
        </w:rPr>
        <w:t>will be based on the Renumeration Framework approved by the MOF for the staff working with Donor Funded Projects in Tonga.</w:t>
      </w:r>
    </w:p>
    <w:p w14:paraId="78268215" w14:textId="7E186384" w:rsidR="003C4A57" w:rsidRPr="007D7061" w:rsidRDefault="003C4A57" w:rsidP="004B634A">
      <w:pPr>
        <w:jc w:val="both"/>
        <w:rPr>
          <w:rFonts w:ascii="Times New Roman" w:hAnsi="Times New Roman" w:cs="Times New Roman"/>
        </w:rPr>
      </w:pPr>
      <w:r w:rsidRPr="007D7061">
        <w:rPr>
          <w:rFonts w:ascii="Times New Roman" w:hAnsi="Times New Roman" w:cs="Times New Roman"/>
        </w:rPr>
        <w:t xml:space="preserve">The </w:t>
      </w:r>
      <w:r w:rsidR="001B5C8C" w:rsidRPr="007D7061">
        <w:rPr>
          <w:rFonts w:ascii="Times New Roman" w:hAnsi="Times New Roman" w:cs="Times New Roman"/>
        </w:rPr>
        <w:t xml:space="preserve">E&amp;S Officer </w:t>
      </w:r>
      <w:r w:rsidRPr="007D7061">
        <w:rPr>
          <w:rFonts w:ascii="Times New Roman" w:hAnsi="Times New Roman" w:cs="Times New Roman"/>
        </w:rPr>
        <w:t>will report to the</w:t>
      </w:r>
      <w:r w:rsidR="004F78BC" w:rsidRPr="007D7061">
        <w:rPr>
          <w:rFonts w:ascii="Times New Roman" w:hAnsi="Times New Roman" w:cs="Times New Roman"/>
        </w:rPr>
        <w:t xml:space="preserve"> CEO of the IA through</w:t>
      </w:r>
      <w:r w:rsidR="00BA29FE" w:rsidRPr="007D7061">
        <w:rPr>
          <w:rFonts w:ascii="Times New Roman" w:hAnsi="Times New Roman" w:cs="Times New Roman"/>
        </w:rPr>
        <w:t xml:space="preserve"> </w:t>
      </w:r>
      <w:r w:rsidRPr="007D7061">
        <w:rPr>
          <w:rFonts w:ascii="Times New Roman" w:hAnsi="Times New Roman" w:cs="Times New Roman"/>
        </w:rPr>
        <w:t>Project Manager</w:t>
      </w:r>
      <w:r w:rsidR="004F78BC" w:rsidRPr="007D7061">
        <w:rPr>
          <w:rFonts w:ascii="Times New Roman" w:hAnsi="Times New Roman" w:cs="Times New Roman"/>
        </w:rPr>
        <w:t xml:space="preserve"> of PMU</w:t>
      </w:r>
      <w:r w:rsidRPr="007D7061">
        <w:rPr>
          <w:rFonts w:ascii="Times New Roman" w:hAnsi="Times New Roman" w:cs="Times New Roman"/>
        </w:rPr>
        <w:t>.</w:t>
      </w:r>
      <w:bookmarkEnd w:id="30"/>
      <w:r w:rsidRPr="007D7061">
        <w:rPr>
          <w:rFonts w:ascii="Times New Roman" w:hAnsi="Times New Roman" w:cs="Times New Roman"/>
        </w:rPr>
        <w:t xml:space="preserve"> </w:t>
      </w:r>
    </w:p>
    <w:p w14:paraId="78595ACF" w14:textId="794D5AC5" w:rsidR="003C4A57" w:rsidRPr="007D7061" w:rsidRDefault="003C4A57" w:rsidP="004B634A">
      <w:pPr>
        <w:jc w:val="both"/>
        <w:rPr>
          <w:rFonts w:ascii="Times New Roman" w:hAnsi="Times New Roman" w:cs="Times New Roman"/>
        </w:rPr>
      </w:pPr>
      <w:bookmarkStart w:id="31" w:name="_Hlk176784437"/>
      <w:r w:rsidRPr="007D7061">
        <w:rPr>
          <w:rFonts w:ascii="Times New Roman" w:hAnsi="Times New Roman" w:cs="Times New Roman"/>
          <w:lang w:val="en-AU" w:eastAsia="en-AU"/>
        </w:rPr>
        <w:t xml:space="preserve">All </w:t>
      </w:r>
      <w:r w:rsidR="00920BCA" w:rsidRPr="007D7061">
        <w:rPr>
          <w:rFonts w:ascii="Times New Roman" w:hAnsi="Times New Roman" w:cs="Times New Roman"/>
          <w:lang w:val="en-AU" w:eastAsia="en-AU"/>
        </w:rPr>
        <w:t>PMU</w:t>
      </w:r>
      <w:r w:rsidRPr="007D7061">
        <w:rPr>
          <w:rFonts w:ascii="Times New Roman" w:hAnsi="Times New Roman" w:cs="Times New Roman"/>
          <w:lang w:val="en-AU" w:eastAsia="en-AU"/>
        </w:rPr>
        <w:t xml:space="preserve"> full-time personnel are not allowed to accept additional paid employment or otherwise provide services for any another </w:t>
      </w:r>
      <w:r w:rsidR="00B67582" w:rsidRPr="007D7061">
        <w:rPr>
          <w:rFonts w:ascii="Times New Roman" w:hAnsi="Times New Roman" w:cs="Times New Roman"/>
          <w:lang w:val="en-AU" w:eastAsia="en-AU"/>
        </w:rPr>
        <w:t>organization and</w:t>
      </w:r>
      <w:r w:rsidR="00BA29FE" w:rsidRPr="007D7061">
        <w:rPr>
          <w:rFonts w:ascii="Times New Roman" w:hAnsi="Times New Roman" w:cs="Times New Roman"/>
          <w:lang w:val="en-AU" w:eastAsia="en-AU"/>
        </w:rPr>
        <w:t xml:space="preserve"> will be required to declare</w:t>
      </w:r>
      <w:r w:rsidRPr="007D7061">
        <w:rPr>
          <w:rFonts w:ascii="Times New Roman" w:hAnsi="Times New Roman" w:cs="Times New Roman"/>
          <w:lang w:val="en-AU" w:eastAsia="en-AU"/>
        </w:rPr>
        <w:t xml:space="preserve"> and provide conflict of interest statement</w:t>
      </w:r>
      <w:r w:rsidRPr="007D7061">
        <w:rPr>
          <w:rFonts w:ascii="Times New Roman" w:hAnsi="Times New Roman" w:cs="Times New Roman"/>
        </w:rPr>
        <w:t>.</w:t>
      </w:r>
    </w:p>
    <w:p w14:paraId="0A0A7CE7" w14:textId="40BFAD25" w:rsidR="00B67582" w:rsidRPr="007D7061" w:rsidRDefault="00B67582" w:rsidP="00B67582">
      <w:pPr>
        <w:spacing w:after="0" w:line="23" w:lineRule="atLeast"/>
        <w:jc w:val="both"/>
        <w:rPr>
          <w:rFonts w:ascii="Times New Roman" w:hAnsi="Times New Roman" w:cs="Times New Roman"/>
        </w:rPr>
      </w:pPr>
      <w:bookmarkStart w:id="32" w:name="_Hlk176699040"/>
      <w:bookmarkStart w:id="33" w:name="_Hlk176784485"/>
      <w:bookmarkEnd w:id="31"/>
      <w:r w:rsidRPr="007D7061">
        <w:rPr>
          <w:rFonts w:ascii="Times New Roman" w:hAnsi="Times New Roman" w:cs="Times New Roman"/>
        </w:rPr>
        <w:t>The E&amp;S Officer is fully responsible for the cost of local transportation (to/from the office). If required to travel to outer islands or other countries, this would be funded by the project</w:t>
      </w:r>
      <w:bookmarkEnd w:id="32"/>
      <w:r w:rsidRPr="007D7061">
        <w:rPr>
          <w:rFonts w:ascii="Times New Roman" w:hAnsi="Times New Roman" w:cs="Times New Roman"/>
        </w:rPr>
        <w:t>.</w:t>
      </w:r>
    </w:p>
    <w:p w14:paraId="27EB3CE7" w14:textId="77777777" w:rsidR="00B67582" w:rsidRPr="007D7061" w:rsidRDefault="00B67582" w:rsidP="00B67582">
      <w:pPr>
        <w:spacing w:after="0" w:line="23" w:lineRule="atLeast"/>
        <w:jc w:val="both"/>
        <w:rPr>
          <w:rFonts w:ascii="Times New Roman" w:hAnsi="Times New Roman" w:cs="Times New Roman"/>
        </w:rPr>
      </w:pPr>
    </w:p>
    <w:p w14:paraId="0BC5CCAA" w14:textId="20F98C92" w:rsidR="004F78BC" w:rsidRPr="007D7061" w:rsidRDefault="000518F4" w:rsidP="00B67582">
      <w:pPr>
        <w:spacing w:after="0" w:line="23" w:lineRule="atLeast"/>
        <w:jc w:val="both"/>
        <w:rPr>
          <w:rFonts w:ascii="Times New Roman" w:eastAsia="Calibri" w:hAnsi="Times New Roman" w:cs="Times New Roman"/>
        </w:rPr>
      </w:pPr>
      <w:r w:rsidRPr="007D7061">
        <w:rPr>
          <w:rFonts w:ascii="Times New Roman" w:eastAsia="Calibri" w:hAnsi="Times New Roman" w:cs="Times New Roman"/>
        </w:rPr>
        <w:t xml:space="preserve">Public servants wishing to apply must follow </w:t>
      </w:r>
      <w:proofErr w:type="spellStart"/>
      <w:r w:rsidRPr="007D7061">
        <w:rPr>
          <w:rFonts w:ascii="Times New Roman" w:eastAsia="Calibri" w:hAnsi="Times New Roman" w:cs="Times New Roman"/>
        </w:rPr>
        <w:t>GoT</w:t>
      </w:r>
      <w:proofErr w:type="spellEnd"/>
      <w:r w:rsidRPr="007D7061">
        <w:rPr>
          <w:rFonts w:ascii="Times New Roman" w:eastAsia="Calibri" w:hAnsi="Times New Roman" w:cs="Times New Roman"/>
        </w:rPr>
        <w:t xml:space="preserve"> Civil Service policies and guidance</w:t>
      </w:r>
      <w:bookmarkEnd w:id="33"/>
      <w:r w:rsidRPr="007D7061">
        <w:rPr>
          <w:rFonts w:ascii="Times New Roman" w:eastAsia="Calibri" w:hAnsi="Times New Roman" w:cs="Times New Roman"/>
        </w:rPr>
        <w:t>.</w:t>
      </w:r>
    </w:p>
    <w:p w14:paraId="3D9C7DA4" w14:textId="77777777" w:rsidR="00E3394D" w:rsidRPr="007D7061" w:rsidRDefault="00E3394D" w:rsidP="00B67582">
      <w:pPr>
        <w:spacing w:after="0" w:line="23" w:lineRule="atLeast"/>
        <w:jc w:val="both"/>
        <w:rPr>
          <w:rFonts w:ascii="Times New Roman" w:eastAsia="Calibri" w:hAnsi="Times New Roman" w:cs="Times New Roman"/>
        </w:rPr>
      </w:pPr>
    </w:p>
    <w:p w14:paraId="1F6E1594" w14:textId="77777777" w:rsidR="00E3394D" w:rsidRPr="007D7061" w:rsidRDefault="00E3394D" w:rsidP="00E3394D">
      <w:pPr>
        <w:spacing w:after="0" w:line="23" w:lineRule="atLeast"/>
        <w:jc w:val="both"/>
        <w:rPr>
          <w:rFonts w:ascii="Times New Roman" w:hAnsi="Times New Roman" w:cs="Times New Roman"/>
          <w:color w:val="000000"/>
          <w:sz w:val="10"/>
          <w:szCs w:val="10"/>
          <w:lang w:bidi="bn-BD"/>
        </w:rPr>
      </w:pPr>
    </w:p>
    <w:p w14:paraId="459BB25B" w14:textId="77777777" w:rsidR="00D12B82" w:rsidRPr="007D7061" w:rsidRDefault="00D12B82" w:rsidP="000E0027">
      <w:pPr>
        <w:pStyle w:val="ListParagraph"/>
        <w:numPr>
          <w:ilvl w:val="0"/>
          <w:numId w:val="1"/>
        </w:numPr>
        <w:jc w:val="both"/>
        <w:rPr>
          <w:rFonts w:ascii="Times New Roman" w:hAnsi="Times New Roman" w:cs="Times New Roman"/>
          <w:b/>
          <w:i/>
          <w:u w:val="single"/>
        </w:rPr>
      </w:pPr>
      <w:bookmarkStart w:id="34" w:name="_Hlk176782980"/>
      <w:bookmarkEnd w:id="28"/>
      <w:r w:rsidRPr="007D7061">
        <w:rPr>
          <w:rFonts w:ascii="Times New Roman" w:hAnsi="Times New Roman" w:cs="Times New Roman"/>
          <w:b/>
          <w:i/>
          <w:u w:val="single"/>
        </w:rPr>
        <w:t>Selection Method</w:t>
      </w:r>
    </w:p>
    <w:p w14:paraId="0116166B" w14:textId="5A879F6B" w:rsidR="00D12B82" w:rsidRPr="007D7061" w:rsidRDefault="00D12B82" w:rsidP="00D12B82">
      <w:pPr>
        <w:rPr>
          <w:rFonts w:ascii="Times New Roman" w:hAnsi="Times New Roman"/>
        </w:rPr>
      </w:pPr>
      <w:r w:rsidRPr="007D7061">
        <w:rPr>
          <w:rFonts w:ascii="Times New Roman" w:hAnsi="Times New Roman"/>
        </w:rPr>
        <w:t xml:space="preserve">The </w:t>
      </w:r>
      <w:r w:rsidR="001B5C8C" w:rsidRPr="007D7061">
        <w:rPr>
          <w:rFonts w:ascii="Times New Roman" w:hAnsi="Times New Roman"/>
        </w:rPr>
        <w:t xml:space="preserve">E&amp;S Officer </w:t>
      </w:r>
      <w:r w:rsidRPr="007D7061">
        <w:rPr>
          <w:rFonts w:ascii="Times New Roman" w:hAnsi="Times New Roman"/>
        </w:rPr>
        <w:t>will be selected through the “Individual Consultant Selection method” in accordance with the World Bank</w:t>
      </w:r>
      <w:r w:rsidRPr="007D7061">
        <w:rPr>
          <w:rFonts w:ascii="Times New Roman" w:eastAsia="SimSun" w:hAnsi="Times New Roman"/>
          <w:lang w:val="en-GB"/>
        </w:rPr>
        <w:t xml:space="preserve"> </w:t>
      </w:r>
      <w:r w:rsidRPr="007D7061">
        <w:rPr>
          <w:rFonts w:ascii="Times New Roman" w:hAnsi="Times New Roman"/>
        </w:rPr>
        <w:t>Procurement</w:t>
      </w:r>
      <w:r w:rsidRPr="007D7061">
        <w:rPr>
          <w:rFonts w:ascii="Times New Roman" w:eastAsia="SimSun" w:hAnsi="Times New Roman"/>
          <w:lang w:val="en-GB"/>
        </w:rPr>
        <w:t xml:space="preserve"> </w:t>
      </w:r>
      <w:r w:rsidRPr="007D7061">
        <w:rPr>
          <w:rFonts w:ascii="Times New Roman" w:hAnsi="Times New Roman"/>
        </w:rPr>
        <w:t>Regulations</w:t>
      </w:r>
      <w:r w:rsidRPr="007D7061">
        <w:rPr>
          <w:rFonts w:ascii="Times New Roman" w:eastAsia="SimSun" w:hAnsi="Times New Roman"/>
          <w:lang w:val="en-GB"/>
        </w:rPr>
        <w:t xml:space="preserve"> </w:t>
      </w:r>
      <w:r w:rsidRPr="007D7061">
        <w:rPr>
          <w:rFonts w:ascii="Times New Roman" w:hAnsi="Times New Roman"/>
        </w:rPr>
        <w:t>for IPF Borrowers (Procurement</w:t>
      </w:r>
      <w:r w:rsidRPr="007D7061">
        <w:rPr>
          <w:rFonts w:ascii="Times New Roman" w:eastAsia="SimSun" w:hAnsi="Times New Roman"/>
          <w:lang w:val="en-GB"/>
        </w:rPr>
        <w:t xml:space="preserve"> </w:t>
      </w:r>
      <w:r w:rsidRPr="007D7061">
        <w:rPr>
          <w:rFonts w:ascii="Times New Roman" w:hAnsi="Times New Roman"/>
        </w:rPr>
        <w:t xml:space="preserve">Regulations) of </w:t>
      </w:r>
      <w:r w:rsidR="004A7F5D" w:rsidRPr="007D7061">
        <w:rPr>
          <w:rFonts w:ascii="Times New Roman" w:hAnsi="Times New Roman"/>
        </w:rPr>
        <w:t>Feb. 2025</w:t>
      </w:r>
      <w:r w:rsidRPr="007D7061">
        <w:rPr>
          <w:rFonts w:ascii="Times New Roman" w:hAnsi="Times New Roman"/>
        </w:rPr>
        <w:t xml:space="preserve">. </w:t>
      </w:r>
    </w:p>
    <w:p w14:paraId="7F689C2A" w14:textId="0014C707" w:rsidR="00673FE0" w:rsidRPr="00077C37" w:rsidRDefault="00D12B82" w:rsidP="00A45E34">
      <w:pPr>
        <w:rPr>
          <w:rFonts w:ascii="Times New Roman" w:hAnsi="Times New Roman" w:cs="Times New Roman"/>
        </w:rPr>
      </w:pPr>
      <w:r w:rsidRPr="007D7061">
        <w:rPr>
          <w:rFonts w:ascii="Times New Roman" w:hAnsi="Times New Roman"/>
        </w:rPr>
        <w:t>Advance Contracting of the Procurement Regulations (Clause 5.1) will be applicable to this contract.</w:t>
      </w:r>
      <w:bookmarkEnd w:id="18"/>
      <w:bookmarkEnd w:id="34"/>
    </w:p>
    <w:sectPr w:rsidR="00673FE0" w:rsidRPr="00077C37" w:rsidSect="00065E61">
      <w:footerReference w:type="even" r:id="rId14"/>
      <w:footerReference w:type="default" r:id="rId15"/>
      <w:footerReference w:type="first" r:id="rId16"/>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EDFF" w14:textId="77777777" w:rsidR="002637F2" w:rsidRDefault="002637F2" w:rsidP="00EB1069">
      <w:pPr>
        <w:spacing w:after="0" w:line="240" w:lineRule="auto"/>
      </w:pPr>
      <w:r>
        <w:separator/>
      </w:r>
    </w:p>
  </w:endnote>
  <w:endnote w:type="continuationSeparator" w:id="0">
    <w:p w14:paraId="705C7136" w14:textId="77777777" w:rsidR="002637F2" w:rsidRDefault="002637F2" w:rsidP="00EB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7C29" w14:textId="622CBBFB" w:rsidR="00BF77F9" w:rsidRDefault="00BF7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8C3" w14:textId="46CD1CD4" w:rsidR="00BF77F9" w:rsidRDefault="00BF7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8B0" w14:textId="62DB586A" w:rsidR="00BF77F9" w:rsidRDefault="00BF7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BF51" w14:textId="77777777" w:rsidR="002637F2" w:rsidRDefault="002637F2" w:rsidP="00EB1069">
      <w:pPr>
        <w:spacing w:after="0" w:line="240" w:lineRule="auto"/>
      </w:pPr>
      <w:r>
        <w:separator/>
      </w:r>
    </w:p>
  </w:footnote>
  <w:footnote w:type="continuationSeparator" w:id="0">
    <w:p w14:paraId="0E913CD2" w14:textId="77777777" w:rsidR="002637F2" w:rsidRDefault="002637F2" w:rsidP="00EB1069">
      <w:pPr>
        <w:spacing w:after="0" w:line="240" w:lineRule="auto"/>
      </w:pPr>
      <w:r>
        <w:continuationSeparator/>
      </w:r>
    </w:p>
  </w:footnote>
  <w:footnote w:id="1">
    <w:p w14:paraId="0B3785F9" w14:textId="77777777" w:rsidR="001036E6" w:rsidRPr="00094EC1" w:rsidRDefault="001036E6" w:rsidP="001036E6">
      <w:pPr>
        <w:pStyle w:val="FootnoteText"/>
        <w:rPr>
          <w:lang w:val="en-CA"/>
        </w:rPr>
      </w:pPr>
      <w:r>
        <w:rPr>
          <w:rStyle w:val="FootnoteReference"/>
        </w:rPr>
        <w:footnoteRef/>
      </w:r>
      <w:r>
        <w:t xml:space="preserve"> </w:t>
      </w:r>
      <w:r w:rsidRPr="00094EC1">
        <w:t>https://tongastats.gov.to/statistics/population-statistics/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75E"/>
    <w:multiLevelType w:val="hybridMultilevel"/>
    <w:tmpl w:val="FAE492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746E8"/>
    <w:multiLevelType w:val="hybridMultilevel"/>
    <w:tmpl w:val="D48EF8D0"/>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 w15:restartNumberingAfterBreak="0">
    <w:nsid w:val="138A4D20"/>
    <w:multiLevelType w:val="hybridMultilevel"/>
    <w:tmpl w:val="F60CAFBA"/>
    <w:lvl w:ilvl="0" w:tplc="125CD664">
      <w:start w:val="1"/>
      <w:numFmt w:val="decimal"/>
      <w:lvlText w:val="%1."/>
      <w:lvlJc w:val="left"/>
      <w:pPr>
        <w:ind w:left="720" w:hanging="360"/>
      </w:pPr>
      <w:rPr>
        <w:rFonts w:hint="default"/>
        <w:sz w:val="22"/>
        <w:szCs w:val="22"/>
      </w:rPr>
    </w:lvl>
    <w:lvl w:ilvl="1" w:tplc="3936181A">
      <w:start w:val="1"/>
      <w:numFmt w:val="decimal"/>
      <w:lvlText w:val="%2."/>
      <w:lvlJc w:val="left"/>
      <w:pPr>
        <w:ind w:left="1572" w:hanging="492"/>
      </w:pPr>
      <w:rPr>
        <w:rFonts w:ascii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0F25"/>
    <w:multiLevelType w:val="hybridMultilevel"/>
    <w:tmpl w:val="44A86BF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54370"/>
    <w:multiLevelType w:val="hybridMultilevel"/>
    <w:tmpl w:val="F85A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6394A"/>
    <w:multiLevelType w:val="hybridMultilevel"/>
    <w:tmpl w:val="9DEE4B80"/>
    <w:lvl w:ilvl="0" w:tplc="1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334366"/>
    <w:multiLevelType w:val="hybridMultilevel"/>
    <w:tmpl w:val="DB20FC54"/>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027BD8"/>
    <w:multiLevelType w:val="hybridMultilevel"/>
    <w:tmpl w:val="610C6042"/>
    <w:lvl w:ilvl="0" w:tplc="404651B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960034F"/>
    <w:multiLevelType w:val="hybridMultilevel"/>
    <w:tmpl w:val="34807E3E"/>
    <w:lvl w:ilvl="0" w:tplc="FFFFFFFF">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7E5BCE"/>
    <w:multiLevelType w:val="hybridMultilevel"/>
    <w:tmpl w:val="80F810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F18FF"/>
    <w:multiLevelType w:val="hybridMultilevel"/>
    <w:tmpl w:val="4688648E"/>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1" w15:restartNumberingAfterBreak="0">
    <w:nsid w:val="2D6948BB"/>
    <w:multiLevelType w:val="hybridMultilevel"/>
    <w:tmpl w:val="2B409CD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E78EB"/>
    <w:multiLevelType w:val="hybridMultilevel"/>
    <w:tmpl w:val="BDB089A8"/>
    <w:lvl w:ilvl="0" w:tplc="8B04C41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81634"/>
    <w:multiLevelType w:val="hybridMultilevel"/>
    <w:tmpl w:val="13620F7C"/>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73C30BE"/>
    <w:multiLevelType w:val="hybridMultilevel"/>
    <w:tmpl w:val="FAE4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B55E1"/>
    <w:multiLevelType w:val="hybridMultilevel"/>
    <w:tmpl w:val="17EACC3A"/>
    <w:lvl w:ilvl="0" w:tplc="22D4846E">
      <w:numFmt w:val="bullet"/>
      <w:lvlText w:val="-"/>
      <w:lvlJc w:val="left"/>
      <w:pPr>
        <w:ind w:left="420" w:hanging="360"/>
      </w:pPr>
      <w:rPr>
        <w:rFonts w:ascii="Times New Roman" w:eastAsia="SimSu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37BE21BC"/>
    <w:multiLevelType w:val="hybridMultilevel"/>
    <w:tmpl w:val="C4600B8E"/>
    <w:lvl w:ilvl="0" w:tplc="FB06DFAC">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216932"/>
    <w:multiLevelType w:val="hybridMultilevel"/>
    <w:tmpl w:val="05C4790A"/>
    <w:lvl w:ilvl="0" w:tplc="FFFFFFFF">
      <w:start w:val="1"/>
      <w:numFmt w:val="decimal"/>
      <w:lvlText w:val="%1."/>
      <w:lvlJc w:val="left"/>
      <w:pPr>
        <w:ind w:left="720" w:hanging="360"/>
      </w:pPr>
      <w:rPr>
        <w:rFonts w:hint="default"/>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580F8B"/>
    <w:multiLevelType w:val="hybridMultilevel"/>
    <w:tmpl w:val="FD542786"/>
    <w:lvl w:ilvl="0" w:tplc="FB06DFAC">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ECF39F8"/>
    <w:multiLevelType w:val="hybridMultilevel"/>
    <w:tmpl w:val="44A86BF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BA834CD"/>
    <w:multiLevelType w:val="hybridMultilevel"/>
    <w:tmpl w:val="A0C4E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841AA7"/>
    <w:multiLevelType w:val="hybridMultilevel"/>
    <w:tmpl w:val="65DE8A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E293712"/>
    <w:multiLevelType w:val="hybridMultilevel"/>
    <w:tmpl w:val="93E6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7747A"/>
    <w:multiLevelType w:val="hybridMultilevel"/>
    <w:tmpl w:val="2FF8C11C"/>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E005B7"/>
    <w:multiLevelType w:val="hybridMultilevel"/>
    <w:tmpl w:val="F8A8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C100A"/>
    <w:multiLevelType w:val="hybridMultilevel"/>
    <w:tmpl w:val="A6F45E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D0D1756"/>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5B19FE"/>
    <w:multiLevelType w:val="hybridMultilevel"/>
    <w:tmpl w:val="9DD2F990"/>
    <w:lvl w:ilvl="0" w:tplc="CFE2C86A">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2981DCB"/>
    <w:multiLevelType w:val="hybridMultilevel"/>
    <w:tmpl w:val="645C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9733A"/>
    <w:multiLevelType w:val="hybridMultilevel"/>
    <w:tmpl w:val="05C4790A"/>
    <w:lvl w:ilvl="0" w:tplc="FFFFFFFF">
      <w:start w:val="1"/>
      <w:numFmt w:val="decimal"/>
      <w:lvlText w:val="%1."/>
      <w:lvlJc w:val="left"/>
      <w:pPr>
        <w:ind w:left="720" w:hanging="360"/>
      </w:pPr>
      <w:rPr>
        <w:rFonts w:hint="default"/>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193D75"/>
    <w:multiLevelType w:val="hybridMultilevel"/>
    <w:tmpl w:val="E4DA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C72C6"/>
    <w:multiLevelType w:val="hybridMultilevel"/>
    <w:tmpl w:val="F16A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A681D"/>
    <w:multiLevelType w:val="hybridMultilevel"/>
    <w:tmpl w:val="E55EE08C"/>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E6A04"/>
    <w:multiLevelType w:val="hybridMultilevel"/>
    <w:tmpl w:val="B9AA57A2"/>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4" w15:restartNumberingAfterBreak="0">
    <w:nsid w:val="6CFA0DAC"/>
    <w:multiLevelType w:val="hybridMultilevel"/>
    <w:tmpl w:val="7A36F61C"/>
    <w:lvl w:ilvl="0" w:tplc="CFE2C86A">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F4577F9"/>
    <w:multiLevelType w:val="hybridMultilevel"/>
    <w:tmpl w:val="DB20FC54"/>
    <w:lvl w:ilvl="0" w:tplc="1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AE69F3"/>
    <w:multiLevelType w:val="hybridMultilevel"/>
    <w:tmpl w:val="D7CEBC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FFE0BA9"/>
    <w:multiLevelType w:val="hybridMultilevel"/>
    <w:tmpl w:val="F07A2A8E"/>
    <w:lvl w:ilvl="0" w:tplc="DF2A0EA4">
      <w:start w:val="1"/>
      <w:numFmt w:val="lowerLetter"/>
      <w:lvlText w:val="%1."/>
      <w:lvlJc w:val="left"/>
      <w:pPr>
        <w:ind w:left="720" w:hanging="360"/>
      </w:pPr>
      <w:rPr>
        <w:rFonts w:eastAsia="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4543506">
    <w:abstractNumId w:val="2"/>
  </w:num>
  <w:num w:numId="2" w16cid:durableId="1904288819">
    <w:abstractNumId w:val="22"/>
  </w:num>
  <w:num w:numId="3" w16cid:durableId="780757128">
    <w:abstractNumId w:val="12"/>
  </w:num>
  <w:num w:numId="4" w16cid:durableId="859516059">
    <w:abstractNumId w:val="28"/>
  </w:num>
  <w:num w:numId="5" w16cid:durableId="1684815578">
    <w:abstractNumId w:val="24"/>
  </w:num>
  <w:num w:numId="6" w16cid:durableId="966082325">
    <w:abstractNumId w:val="21"/>
  </w:num>
  <w:num w:numId="7" w16cid:durableId="1994530488">
    <w:abstractNumId w:val="7"/>
  </w:num>
  <w:num w:numId="8" w16cid:durableId="1790277741">
    <w:abstractNumId w:val="13"/>
  </w:num>
  <w:num w:numId="9" w16cid:durableId="135801122">
    <w:abstractNumId w:val="8"/>
  </w:num>
  <w:num w:numId="10" w16cid:durableId="166748451">
    <w:abstractNumId w:val="19"/>
  </w:num>
  <w:num w:numId="11" w16cid:durableId="1127351925">
    <w:abstractNumId w:val="33"/>
  </w:num>
  <w:num w:numId="12" w16cid:durableId="1756246241">
    <w:abstractNumId w:val="35"/>
  </w:num>
  <w:num w:numId="13" w16cid:durableId="1617977789">
    <w:abstractNumId w:val="6"/>
  </w:num>
  <w:num w:numId="14" w16cid:durableId="9839104">
    <w:abstractNumId w:val="30"/>
  </w:num>
  <w:num w:numId="15" w16cid:durableId="1082214415">
    <w:abstractNumId w:val="9"/>
  </w:num>
  <w:num w:numId="16" w16cid:durableId="1231232026">
    <w:abstractNumId w:val="11"/>
  </w:num>
  <w:num w:numId="17" w16cid:durableId="974523532">
    <w:abstractNumId w:val="1"/>
  </w:num>
  <w:num w:numId="18" w16cid:durableId="1587114279">
    <w:abstractNumId w:val="20"/>
  </w:num>
  <w:num w:numId="19" w16cid:durableId="203176972">
    <w:abstractNumId w:val="14"/>
  </w:num>
  <w:num w:numId="20" w16cid:durableId="119497727">
    <w:abstractNumId w:val="32"/>
  </w:num>
  <w:num w:numId="21" w16cid:durableId="634532573">
    <w:abstractNumId w:val="36"/>
  </w:num>
  <w:num w:numId="22" w16cid:durableId="161093160">
    <w:abstractNumId w:val="10"/>
  </w:num>
  <w:num w:numId="23" w16cid:durableId="753363028">
    <w:abstractNumId w:val="0"/>
  </w:num>
  <w:num w:numId="24" w16cid:durableId="626425201">
    <w:abstractNumId w:val="18"/>
  </w:num>
  <w:num w:numId="25" w16cid:durableId="2102600073">
    <w:abstractNumId w:val="16"/>
  </w:num>
  <w:num w:numId="26" w16cid:durableId="398140066">
    <w:abstractNumId w:val="27"/>
  </w:num>
  <w:num w:numId="27" w16cid:durableId="1489133343">
    <w:abstractNumId w:val="34"/>
  </w:num>
  <w:num w:numId="28" w16cid:durableId="1504970837">
    <w:abstractNumId w:val="23"/>
  </w:num>
  <w:num w:numId="29" w16cid:durableId="2126733747">
    <w:abstractNumId w:val="5"/>
  </w:num>
  <w:num w:numId="30" w16cid:durableId="628433443">
    <w:abstractNumId w:val="25"/>
  </w:num>
  <w:num w:numId="31" w16cid:durableId="2036998665">
    <w:abstractNumId w:val="31"/>
  </w:num>
  <w:num w:numId="32" w16cid:durableId="1081291515">
    <w:abstractNumId w:val="3"/>
  </w:num>
  <w:num w:numId="33" w16cid:durableId="1923027574">
    <w:abstractNumId w:val="17"/>
  </w:num>
  <w:num w:numId="34" w16cid:durableId="1088187581">
    <w:abstractNumId w:val="29"/>
  </w:num>
  <w:num w:numId="35" w16cid:durableId="719744920">
    <w:abstractNumId w:val="37"/>
  </w:num>
  <w:num w:numId="36" w16cid:durableId="1426850625">
    <w:abstractNumId w:val="4"/>
  </w:num>
  <w:num w:numId="37" w16cid:durableId="2046904131">
    <w:abstractNumId w:val="15"/>
  </w:num>
  <w:num w:numId="38" w16cid:durableId="11992001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MDE3MbA0Mzc2N7RQ0lEKTi0uzszPAykwqgUAH0wchywAAAA="/>
  </w:docVars>
  <w:rsids>
    <w:rsidRoot w:val="00B97E2C"/>
    <w:rsid w:val="0001111D"/>
    <w:rsid w:val="000212F2"/>
    <w:rsid w:val="00025924"/>
    <w:rsid w:val="00025C89"/>
    <w:rsid w:val="0002759A"/>
    <w:rsid w:val="00030B45"/>
    <w:rsid w:val="00033B36"/>
    <w:rsid w:val="00041AA1"/>
    <w:rsid w:val="000518F4"/>
    <w:rsid w:val="00052071"/>
    <w:rsid w:val="0005596E"/>
    <w:rsid w:val="00065DF1"/>
    <w:rsid w:val="00065E61"/>
    <w:rsid w:val="0007120C"/>
    <w:rsid w:val="00077C37"/>
    <w:rsid w:val="00086D3D"/>
    <w:rsid w:val="000930E0"/>
    <w:rsid w:val="000A1D2C"/>
    <w:rsid w:val="000A2983"/>
    <w:rsid w:val="000B6557"/>
    <w:rsid w:val="000C7275"/>
    <w:rsid w:val="000C7D58"/>
    <w:rsid w:val="000D0775"/>
    <w:rsid w:val="000D1589"/>
    <w:rsid w:val="000D6F6C"/>
    <w:rsid w:val="000E0027"/>
    <w:rsid w:val="000E31A6"/>
    <w:rsid w:val="00102573"/>
    <w:rsid w:val="001036E6"/>
    <w:rsid w:val="001042CB"/>
    <w:rsid w:val="001048F1"/>
    <w:rsid w:val="00111CC2"/>
    <w:rsid w:val="00122074"/>
    <w:rsid w:val="0013388D"/>
    <w:rsid w:val="00137398"/>
    <w:rsid w:val="001379DB"/>
    <w:rsid w:val="0014032F"/>
    <w:rsid w:val="001445D5"/>
    <w:rsid w:val="001476E8"/>
    <w:rsid w:val="00152137"/>
    <w:rsid w:val="00160CC2"/>
    <w:rsid w:val="00162A55"/>
    <w:rsid w:val="00162B36"/>
    <w:rsid w:val="001670DF"/>
    <w:rsid w:val="001673BB"/>
    <w:rsid w:val="0017075F"/>
    <w:rsid w:val="00184AD1"/>
    <w:rsid w:val="001852AD"/>
    <w:rsid w:val="00186650"/>
    <w:rsid w:val="001A7FE3"/>
    <w:rsid w:val="001B31D7"/>
    <w:rsid w:val="001B5C8C"/>
    <w:rsid w:val="001C31EB"/>
    <w:rsid w:val="001C4701"/>
    <w:rsid w:val="001C49D6"/>
    <w:rsid w:val="001D06B9"/>
    <w:rsid w:val="001F0645"/>
    <w:rsid w:val="001F14B1"/>
    <w:rsid w:val="001F3ED2"/>
    <w:rsid w:val="001F7621"/>
    <w:rsid w:val="00204EB2"/>
    <w:rsid w:val="00206754"/>
    <w:rsid w:val="00207488"/>
    <w:rsid w:val="00207610"/>
    <w:rsid w:val="002128FE"/>
    <w:rsid w:val="002304BF"/>
    <w:rsid w:val="00232153"/>
    <w:rsid w:val="00232D3B"/>
    <w:rsid w:val="00243759"/>
    <w:rsid w:val="002553D2"/>
    <w:rsid w:val="00255434"/>
    <w:rsid w:val="00262036"/>
    <w:rsid w:val="002637F2"/>
    <w:rsid w:val="00264F6B"/>
    <w:rsid w:val="00265190"/>
    <w:rsid w:val="00281512"/>
    <w:rsid w:val="00287748"/>
    <w:rsid w:val="00291125"/>
    <w:rsid w:val="00294DF9"/>
    <w:rsid w:val="002A25D2"/>
    <w:rsid w:val="002A74C3"/>
    <w:rsid w:val="002B481C"/>
    <w:rsid w:val="002B5092"/>
    <w:rsid w:val="002B595C"/>
    <w:rsid w:val="002C29FE"/>
    <w:rsid w:val="002C4B17"/>
    <w:rsid w:val="002D023A"/>
    <w:rsid w:val="002D4FA8"/>
    <w:rsid w:val="002D60B5"/>
    <w:rsid w:val="002E09AE"/>
    <w:rsid w:val="002E0A08"/>
    <w:rsid w:val="002F2588"/>
    <w:rsid w:val="002F5B5F"/>
    <w:rsid w:val="002F5E2F"/>
    <w:rsid w:val="002F7E8B"/>
    <w:rsid w:val="0030064A"/>
    <w:rsid w:val="0030092E"/>
    <w:rsid w:val="00300F6F"/>
    <w:rsid w:val="003207C0"/>
    <w:rsid w:val="00322CEA"/>
    <w:rsid w:val="00322DE7"/>
    <w:rsid w:val="00342EB7"/>
    <w:rsid w:val="00344A7E"/>
    <w:rsid w:val="00345F9D"/>
    <w:rsid w:val="00346BD8"/>
    <w:rsid w:val="003506F2"/>
    <w:rsid w:val="003524DB"/>
    <w:rsid w:val="003546B1"/>
    <w:rsid w:val="003549B6"/>
    <w:rsid w:val="003557F3"/>
    <w:rsid w:val="00362042"/>
    <w:rsid w:val="00363E99"/>
    <w:rsid w:val="0036501D"/>
    <w:rsid w:val="0036660E"/>
    <w:rsid w:val="00366B1D"/>
    <w:rsid w:val="0037207B"/>
    <w:rsid w:val="003736C1"/>
    <w:rsid w:val="0038103B"/>
    <w:rsid w:val="0039408F"/>
    <w:rsid w:val="003B1DE5"/>
    <w:rsid w:val="003B573B"/>
    <w:rsid w:val="003B64A2"/>
    <w:rsid w:val="003C4A57"/>
    <w:rsid w:val="003C4E2B"/>
    <w:rsid w:val="003C744A"/>
    <w:rsid w:val="003D2B0D"/>
    <w:rsid w:val="003E4A66"/>
    <w:rsid w:val="003E62EA"/>
    <w:rsid w:val="003F753D"/>
    <w:rsid w:val="00413CEA"/>
    <w:rsid w:val="00415696"/>
    <w:rsid w:val="0042106D"/>
    <w:rsid w:val="00424358"/>
    <w:rsid w:val="004311F4"/>
    <w:rsid w:val="0043637A"/>
    <w:rsid w:val="00437CBF"/>
    <w:rsid w:val="00442CBF"/>
    <w:rsid w:val="0044339B"/>
    <w:rsid w:val="00444DD0"/>
    <w:rsid w:val="00447F78"/>
    <w:rsid w:val="004549E6"/>
    <w:rsid w:val="00461464"/>
    <w:rsid w:val="0046266A"/>
    <w:rsid w:val="00462F06"/>
    <w:rsid w:val="00475EB1"/>
    <w:rsid w:val="004768D8"/>
    <w:rsid w:val="004774F4"/>
    <w:rsid w:val="0048103F"/>
    <w:rsid w:val="00486929"/>
    <w:rsid w:val="00492C14"/>
    <w:rsid w:val="004962B6"/>
    <w:rsid w:val="004A24DF"/>
    <w:rsid w:val="004A3E6B"/>
    <w:rsid w:val="004A7F5D"/>
    <w:rsid w:val="004B1510"/>
    <w:rsid w:val="004B4C1B"/>
    <w:rsid w:val="004B5431"/>
    <w:rsid w:val="004B634A"/>
    <w:rsid w:val="004D053E"/>
    <w:rsid w:val="004D203D"/>
    <w:rsid w:val="004D2DB0"/>
    <w:rsid w:val="004D528F"/>
    <w:rsid w:val="004D53C0"/>
    <w:rsid w:val="004F08D9"/>
    <w:rsid w:val="004F7433"/>
    <w:rsid w:val="004F78BC"/>
    <w:rsid w:val="0050174D"/>
    <w:rsid w:val="00502E3E"/>
    <w:rsid w:val="0050321D"/>
    <w:rsid w:val="005104AC"/>
    <w:rsid w:val="00514493"/>
    <w:rsid w:val="00517C92"/>
    <w:rsid w:val="005314FD"/>
    <w:rsid w:val="0053411E"/>
    <w:rsid w:val="00535192"/>
    <w:rsid w:val="0054432F"/>
    <w:rsid w:val="005461C7"/>
    <w:rsid w:val="00552BCB"/>
    <w:rsid w:val="00561DF5"/>
    <w:rsid w:val="00565CDD"/>
    <w:rsid w:val="00572A4F"/>
    <w:rsid w:val="00584F08"/>
    <w:rsid w:val="0058612F"/>
    <w:rsid w:val="005911E2"/>
    <w:rsid w:val="005957C3"/>
    <w:rsid w:val="005A743F"/>
    <w:rsid w:val="005C2484"/>
    <w:rsid w:val="005D2031"/>
    <w:rsid w:val="005D2955"/>
    <w:rsid w:val="005D5912"/>
    <w:rsid w:val="005E217C"/>
    <w:rsid w:val="005E26C9"/>
    <w:rsid w:val="005E5633"/>
    <w:rsid w:val="005F3E31"/>
    <w:rsid w:val="005F7A28"/>
    <w:rsid w:val="006129A3"/>
    <w:rsid w:val="00616FE4"/>
    <w:rsid w:val="00617D2D"/>
    <w:rsid w:val="00627B9A"/>
    <w:rsid w:val="00633E32"/>
    <w:rsid w:val="00634895"/>
    <w:rsid w:val="0064425F"/>
    <w:rsid w:val="00644B4A"/>
    <w:rsid w:val="00647EEF"/>
    <w:rsid w:val="00653DC7"/>
    <w:rsid w:val="00660219"/>
    <w:rsid w:val="006614BA"/>
    <w:rsid w:val="006669A6"/>
    <w:rsid w:val="0067002C"/>
    <w:rsid w:val="00672B29"/>
    <w:rsid w:val="00673FE0"/>
    <w:rsid w:val="006743B2"/>
    <w:rsid w:val="00674BCA"/>
    <w:rsid w:val="00676786"/>
    <w:rsid w:val="00677085"/>
    <w:rsid w:val="006774C4"/>
    <w:rsid w:val="00681AB6"/>
    <w:rsid w:val="006858E4"/>
    <w:rsid w:val="00691E04"/>
    <w:rsid w:val="006A121D"/>
    <w:rsid w:val="006A16BF"/>
    <w:rsid w:val="006A24EF"/>
    <w:rsid w:val="006A539B"/>
    <w:rsid w:val="006B04BC"/>
    <w:rsid w:val="006B37F6"/>
    <w:rsid w:val="006B4CD5"/>
    <w:rsid w:val="006B6921"/>
    <w:rsid w:val="006B7764"/>
    <w:rsid w:val="006C122A"/>
    <w:rsid w:val="006C16CC"/>
    <w:rsid w:val="006C47BA"/>
    <w:rsid w:val="006D21F7"/>
    <w:rsid w:val="006E2A71"/>
    <w:rsid w:val="006E6AA8"/>
    <w:rsid w:val="006E77EA"/>
    <w:rsid w:val="006F26F9"/>
    <w:rsid w:val="006F364C"/>
    <w:rsid w:val="00701790"/>
    <w:rsid w:val="007027B5"/>
    <w:rsid w:val="00707866"/>
    <w:rsid w:val="00710763"/>
    <w:rsid w:val="00710D1F"/>
    <w:rsid w:val="007150D9"/>
    <w:rsid w:val="0073050D"/>
    <w:rsid w:val="00731023"/>
    <w:rsid w:val="00732C55"/>
    <w:rsid w:val="0073516F"/>
    <w:rsid w:val="0073749D"/>
    <w:rsid w:val="00743329"/>
    <w:rsid w:val="00747C73"/>
    <w:rsid w:val="00750C69"/>
    <w:rsid w:val="007537F4"/>
    <w:rsid w:val="00754014"/>
    <w:rsid w:val="00755CCD"/>
    <w:rsid w:val="0075642B"/>
    <w:rsid w:val="007567F4"/>
    <w:rsid w:val="00756DE9"/>
    <w:rsid w:val="00757697"/>
    <w:rsid w:val="007749A6"/>
    <w:rsid w:val="00774A02"/>
    <w:rsid w:val="0078426F"/>
    <w:rsid w:val="00792C5B"/>
    <w:rsid w:val="00795532"/>
    <w:rsid w:val="007A0A7C"/>
    <w:rsid w:val="007A302A"/>
    <w:rsid w:val="007A7708"/>
    <w:rsid w:val="007B02DA"/>
    <w:rsid w:val="007B4CB4"/>
    <w:rsid w:val="007C250C"/>
    <w:rsid w:val="007C2EFE"/>
    <w:rsid w:val="007C4115"/>
    <w:rsid w:val="007C783C"/>
    <w:rsid w:val="007D6849"/>
    <w:rsid w:val="007D7061"/>
    <w:rsid w:val="007E171B"/>
    <w:rsid w:val="007E2D1B"/>
    <w:rsid w:val="007E7828"/>
    <w:rsid w:val="007E7898"/>
    <w:rsid w:val="007F1949"/>
    <w:rsid w:val="00802AC6"/>
    <w:rsid w:val="00803D3B"/>
    <w:rsid w:val="008052CC"/>
    <w:rsid w:val="00811E47"/>
    <w:rsid w:val="0081283D"/>
    <w:rsid w:val="00817E83"/>
    <w:rsid w:val="0082417C"/>
    <w:rsid w:val="008342B7"/>
    <w:rsid w:val="0084496E"/>
    <w:rsid w:val="00845E2D"/>
    <w:rsid w:val="00847A9E"/>
    <w:rsid w:val="00850D12"/>
    <w:rsid w:val="00852185"/>
    <w:rsid w:val="00856039"/>
    <w:rsid w:val="008639F3"/>
    <w:rsid w:val="0086420E"/>
    <w:rsid w:val="00866001"/>
    <w:rsid w:val="00867A07"/>
    <w:rsid w:val="0087291B"/>
    <w:rsid w:val="00873425"/>
    <w:rsid w:val="00874351"/>
    <w:rsid w:val="008855A4"/>
    <w:rsid w:val="0088675C"/>
    <w:rsid w:val="008931B4"/>
    <w:rsid w:val="008A503C"/>
    <w:rsid w:val="008A6B07"/>
    <w:rsid w:val="008B307C"/>
    <w:rsid w:val="008B6542"/>
    <w:rsid w:val="008C66A5"/>
    <w:rsid w:val="008D2F9F"/>
    <w:rsid w:val="008E0B35"/>
    <w:rsid w:val="008F5102"/>
    <w:rsid w:val="008F593D"/>
    <w:rsid w:val="00902657"/>
    <w:rsid w:val="00916B2C"/>
    <w:rsid w:val="00920BCA"/>
    <w:rsid w:val="0092593B"/>
    <w:rsid w:val="00930625"/>
    <w:rsid w:val="00955744"/>
    <w:rsid w:val="00956190"/>
    <w:rsid w:val="00957D93"/>
    <w:rsid w:val="00960C35"/>
    <w:rsid w:val="00966A5B"/>
    <w:rsid w:val="00967741"/>
    <w:rsid w:val="009727CE"/>
    <w:rsid w:val="00975811"/>
    <w:rsid w:val="009800D7"/>
    <w:rsid w:val="009821FD"/>
    <w:rsid w:val="00987E47"/>
    <w:rsid w:val="009B09BB"/>
    <w:rsid w:val="009B0A3A"/>
    <w:rsid w:val="009B39D0"/>
    <w:rsid w:val="009C0DE7"/>
    <w:rsid w:val="009E0574"/>
    <w:rsid w:val="009E2105"/>
    <w:rsid w:val="009E4349"/>
    <w:rsid w:val="009E5CD6"/>
    <w:rsid w:val="009E6BF2"/>
    <w:rsid w:val="009E6FAF"/>
    <w:rsid w:val="009E7F2B"/>
    <w:rsid w:val="009F7752"/>
    <w:rsid w:val="00A06A58"/>
    <w:rsid w:val="00A1126E"/>
    <w:rsid w:val="00A1335A"/>
    <w:rsid w:val="00A13639"/>
    <w:rsid w:val="00A139B9"/>
    <w:rsid w:val="00A22D5A"/>
    <w:rsid w:val="00A24696"/>
    <w:rsid w:val="00A270CF"/>
    <w:rsid w:val="00A379F9"/>
    <w:rsid w:val="00A4054F"/>
    <w:rsid w:val="00A40C01"/>
    <w:rsid w:val="00A45E34"/>
    <w:rsid w:val="00A7399A"/>
    <w:rsid w:val="00A80606"/>
    <w:rsid w:val="00A94256"/>
    <w:rsid w:val="00A95423"/>
    <w:rsid w:val="00A97A60"/>
    <w:rsid w:val="00AA3AA5"/>
    <w:rsid w:val="00AA62E8"/>
    <w:rsid w:val="00AA7C1B"/>
    <w:rsid w:val="00AB1683"/>
    <w:rsid w:val="00AD7371"/>
    <w:rsid w:val="00AE1072"/>
    <w:rsid w:val="00AF1C1D"/>
    <w:rsid w:val="00AF317F"/>
    <w:rsid w:val="00AF40F0"/>
    <w:rsid w:val="00B004C5"/>
    <w:rsid w:val="00B00870"/>
    <w:rsid w:val="00B00D6D"/>
    <w:rsid w:val="00B01576"/>
    <w:rsid w:val="00B03F48"/>
    <w:rsid w:val="00B07717"/>
    <w:rsid w:val="00B11412"/>
    <w:rsid w:val="00B15162"/>
    <w:rsid w:val="00B20199"/>
    <w:rsid w:val="00B21227"/>
    <w:rsid w:val="00B24BA3"/>
    <w:rsid w:val="00B31D26"/>
    <w:rsid w:val="00B35C88"/>
    <w:rsid w:val="00B42001"/>
    <w:rsid w:val="00B52BAA"/>
    <w:rsid w:val="00B54AAF"/>
    <w:rsid w:val="00B5716B"/>
    <w:rsid w:val="00B67582"/>
    <w:rsid w:val="00B70230"/>
    <w:rsid w:val="00B70E57"/>
    <w:rsid w:val="00B75D18"/>
    <w:rsid w:val="00B84998"/>
    <w:rsid w:val="00B95305"/>
    <w:rsid w:val="00B96401"/>
    <w:rsid w:val="00B96E04"/>
    <w:rsid w:val="00B97E2C"/>
    <w:rsid w:val="00BA2424"/>
    <w:rsid w:val="00BA29FE"/>
    <w:rsid w:val="00BA36BE"/>
    <w:rsid w:val="00BA3F0F"/>
    <w:rsid w:val="00BB2002"/>
    <w:rsid w:val="00BB7FB9"/>
    <w:rsid w:val="00BC3B98"/>
    <w:rsid w:val="00BD454E"/>
    <w:rsid w:val="00BE24BD"/>
    <w:rsid w:val="00BF201D"/>
    <w:rsid w:val="00BF5430"/>
    <w:rsid w:val="00BF57C2"/>
    <w:rsid w:val="00BF5C16"/>
    <w:rsid w:val="00BF77F9"/>
    <w:rsid w:val="00C12336"/>
    <w:rsid w:val="00C17826"/>
    <w:rsid w:val="00C17B28"/>
    <w:rsid w:val="00C215BE"/>
    <w:rsid w:val="00C326DC"/>
    <w:rsid w:val="00C36824"/>
    <w:rsid w:val="00C36E3A"/>
    <w:rsid w:val="00C47B89"/>
    <w:rsid w:val="00C51A3D"/>
    <w:rsid w:val="00C71BEF"/>
    <w:rsid w:val="00C8191D"/>
    <w:rsid w:val="00C8325B"/>
    <w:rsid w:val="00C904D0"/>
    <w:rsid w:val="00C920FC"/>
    <w:rsid w:val="00C93C4D"/>
    <w:rsid w:val="00CA45B0"/>
    <w:rsid w:val="00CA51BC"/>
    <w:rsid w:val="00CB2EC1"/>
    <w:rsid w:val="00CB522C"/>
    <w:rsid w:val="00CC0869"/>
    <w:rsid w:val="00CC4653"/>
    <w:rsid w:val="00CC679A"/>
    <w:rsid w:val="00CD7AEC"/>
    <w:rsid w:val="00CE1F65"/>
    <w:rsid w:val="00CE311B"/>
    <w:rsid w:val="00CE5DB6"/>
    <w:rsid w:val="00CF209B"/>
    <w:rsid w:val="00CF2223"/>
    <w:rsid w:val="00CF368E"/>
    <w:rsid w:val="00CF3A75"/>
    <w:rsid w:val="00D05703"/>
    <w:rsid w:val="00D12B82"/>
    <w:rsid w:val="00D15F5C"/>
    <w:rsid w:val="00D17039"/>
    <w:rsid w:val="00D20D1E"/>
    <w:rsid w:val="00D23D2E"/>
    <w:rsid w:val="00D33DE2"/>
    <w:rsid w:val="00D36B51"/>
    <w:rsid w:val="00D36E31"/>
    <w:rsid w:val="00D41C4F"/>
    <w:rsid w:val="00D46593"/>
    <w:rsid w:val="00D532E5"/>
    <w:rsid w:val="00D56952"/>
    <w:rsid w:val="00D62B14"/>
    <w:rsid w:val="00D66A78"/>
    <w:rsid w:val="00D70F8C"/>
    <w:rsid w:val="00D81BE3"/>
    <w:rsid w:val="00D865B9"/>
    <w:rsid w:val="00D86CAF"/>
    <w:rsid w:val="00D93B16"/>
    <w:rsid w:val="00DA1A06"/>
    <w:rsid w:val="00DA1D03"/>
    <w:rsid w:val="00DA74FD"/>
    <w:rsid w:val="00DB1604"/>
    <w:rsid w:val="00DB2D10"/>
    <w:rsid w:val="00DC1BC2"/>
    <w:rsid w:val="00DC1BDF"/>
    <w:rsid w:val="00DC2C96"/>
    <w:rsid w:val="00DC3A8E"/>
    <w:rsid w:val="00DC7440"/>
    <w:rsid w:val="00DD0A0D"/>
    <w:rsid w:val="00DD5E72"/>
    <w:rsid w:val="00DD6558"/>
    <w:rsid w:val="00DE09DB"/>
    <w:rsid w:val="00DE2E83"/>
    <w:rsid w:val="00DF0739"/>
    <w:rsid w:val="00DF0BFB"/>
    <w:rsid w:val="00DF5DF2"/>
    <w:rsid w:val="00E01227"/>
    <w:rsid w:val="00E056BC"/>
    <w:rsid w:val="00E151B4"/>
    <w:rsid w:val="00E20304"/>
    <w:rsid w:val="00E22F96"/>
    <w:rsid w:val="00E315DB"/>
    <w:rsid w:val="00E3394D"/>
    <w:rsid w:val="00E34B81"/>
    <w:rsid w:val="00E40ADE"/>
    <w:rsid w:val="00E51643"/>
    <w:rsid w:val="00E550AF"/>
    <w:rsid w:val="00E64146"/>
    <w:rsid w:val="00E75416"/>
    <w:rsid w:val="00E8640D"/>
    <w:rsid w:val="00E86DBF"/>
    <w:rsid w:val="00E93CFE"/>
    <w:rsid w:val="00E943AB"/>
    <w:rsid w:val="00E94493"/>
    <w:rsid w:val="00EA12A7"/>
    <w:rsid w:val="00EB1069"/>
    <w:rsid w:val="00EC0632"/>
    <w:rsid w:val="00EC3754"/>
    <w:rsid w:val="00ED1E5D"/>
    <w:rsid w:val="00ED3C44"/>
    <w:rsid w:val="00EE1AB2"/>
    <w:rsid w:val="00EE1F6B"/>
    <w:rsid w:val="00EE2D07"/>
    <w:rsid w:val="00EE76FE"/>
    <w:rsid w:val="00EF24CE"/>
    <w:rsid w:val="00EF6EEB"/>
    <w:rsid w:val="00F01663"/>
    <w:rsid w:val="00F07619"/>
    <w:rsid w:val="00F14861"/>
    <w:rsid w:val="00F24290"/>
    <w:rsid w:val="00F24BD3"/>
    <w:rsid w:val="00F25513"/>
    <w:rsid w:val="00F27BB4"/>
    <w:rsid w:val="00F27EC4"/>
    <w:rsid w:val="00F310F2"/>
    <w:rsid w:val="00F32B43"/>
    <w:rsid w:val="00F47170"/>
    <w:rsid w:val="00F473CF"/>
    <w:rsid w:val="00F47D6F"/>
    <w:rsid w:val="00F52480"/>
    <w:rsid w:val="00F57806"/>
    <w:rsid w:val="00F6701D"/>
    <w:rsid w:val="00F67124"/>
    <w:rsid w:val="00F758C6"/>
    <w:rsid w:val="00F7717F"/>
    <w:rsid w:val="00F817E2"/>
    <w:rsid w:val="00F82EE7"/>
    <w:rsid w:val="00F86B5C"/>
    <w:rsid w:val="00F86D8E"/>
    <w:rsid w:val="00F964DC"/>
    <w:rsid w:val="00FA26FB"/>
    <w:rsid w:val="00FA5C10"/>
    <w:rsid w:val="00FA6ABF"/>
    <w:rsid w:val="00FB30BF"/>
    <w:rsid w:val="00FB41AB"/>
    <w:rsid w:val="00FB6E1D"/>
    <w:rsid w:val="00FC25CA"/>
    <w:rsid w:val="00FD4A07"/>
    <w:rsid w:val="00FD56C0"/>
    <w:rsid w:val="00FD5A75"/>
    <w:rsid w:val="00FD5DEB"/>
    <w:rsid w:val="00FF06D9"/>
    <w:rsid w:val="00FF73F2"/>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C60B"/>
  <w15:chartTrackingRefBased/>
  <w15:docId w15:val="{90074679-A57D-4BF9-93FE-1F16E181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A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30E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40A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0A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List Paragraph1,Resume Title,List_Paragraph,Multilevel para_II,References,123 List Paragraph,ADB paragraph numbering,Liste 1,ANNEX,List Paragraph2,Bullets,IBL List Paragraph,Bullet paras"/>
    <w:basedOn w:val="Normal"/>
    <w:link w:val="ListParagraphChar"/>
    <w:uiPriority w:val="34"/>
    <w:qFormat/>
    <w:rsid w:val="00262036"/>
    <w:pPr>
      <w:ind w:left="720"/>
      <w:contextualSpacing/>
    </w:pPr>
  </w:style>
  <w:style w:type="paragraph" w:styleId="BalloonText">
    <w:name w:val="Balloon Text"/>
    <w:basedOn w:val="Normal"/>
    <w:link w:val="BalloonTextChar"/>
    <w:uiPriority w:val="99"/>
    <w:semiHidden/>
    <w:unhideWhenUsed/>
    <w:rsid w:val="00FB3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0BF"/>
    <w:rPr>
      <w:rFonts w:ascii="Segoe UI" w:hAnsi="Segoe UI" w:cs="Segoe UI"/>
      <w:sz w:val="18"/>
      <w:szCs w:val="18"/>
    </w:rPr>
  </w:style>
  <w:style w:type="character" w:styleId="CommentReference">
    <w:name w:val="annotation reference"/>
    <w:basedOn w:val="DefaultParagraphFont"/>
    <w:uiPriority w:val="99"/>
    <w:semiHidden/>
    <w:unhideWhenUsed/>
    <w:rsid w:val="00C8191D"/>
    <w:rPr>
      <w:sz w:val="16"/>
      <w:szCs w:val="16"/>
    </w:rPr>
  </w:style>
  <w:style w:type="paragraph" w:styleId="CommentText">
    <w:name w:val="annotation text"/>
    <w:basedOn w:val="Normal"/>
    <w:link w:val="CommentTextChar"/>
    <w:uiPriority w:val="99"/>
    <w:unhideWhenUsed/>
    <w:rsid w:val="00C8191D"/>
    <w:pPr>
      <w:spacing w:line="240" w:lineRule="auto"/>
    </w:pPr>
    <w:rPr>
      <w:sz w:val="20"/>
      <w:szCs w:val="20"/>
    </w:rPr>
  </w:style>
  <w:style w:type="character" w:customStyle="1" w:styleId="CommentTextChar">
    <w:name w:val="Comment Text Char"/>
    <w:basedOn w:val="DefaultParagraphFont"/>
    <w:link w:val="CommentText"/>
    <w:uiPriority w:val="99"/>
    <w:rsid w:val="00C8191D"/>
    <w:rPr>
      <w:sz w:val="20"/>
      <w:szCs w:val="20"/>
    </w:rPr>
  </w:style>
  <w:style w:type="paragraph" w:styleId="CommentSubject">
    <w:name w:val="annotation subject"/>
    <w:basedOn w:val="CommentText"/>
    <w:next w:val="CommentText"/>
    <w:link w:val="CommentSubjectChar"/>
    <w:uiPriority w:val="99"/>
    <w:semiHidden/>
    <w:unhideWhenUsed/>
    <w:rsid w:val="00C8191D"/>
    <w:rPr>
      <w:b/>
      <w:bCs/>
    </w:rPr>
  </w:style>
  <w:style w:type="character" w:customStyle="1" w:styleId="CommentSubjectChar">
    <w:name w:val="Comment Subject Char"/>
    <w:basedOn w:val="CommentTextChar"/>
    <w:link w:val="CommentSubject"/>
    <w:uiPriority w:val="99"/>
    <w:semiHidden/>
    <w:rsid w:val="00C8191D"/>
    <w:rPr>
      <w:b/>
      <w:bCs/>
      <w:sz w:val="20"/>
      <w:szCs w:val="20"/>
    </w:rPr>
  </w:style>
  <w:style w:type="paragraph" w:styleId="NoSpacing">
    <w:name w:val="No Spacing"/>
    <w:uiPriority w:val="1"/>
    <w:qFormat/>
    <w:rsid w:val="008931B4"/>
    <w:pPr>
      <w:spacing w:after="0" w:line="240" w:lineRule="auto"/>
    </w:pPr>
    <w:rPr>
      <w:rFonts w:ascii="Times New Roman" w:eastAsia="SimSun" w:hAnsi="Times New Roman" w:cs="Times New Roman"/>
      <w:sz w:val="24"/>
      <w:szCs w:val="24"/>
    </w:rPr>
  </w:style>
  <w:style w:type="paragraph" w:styleId="Header">
    <w:name w:val="header"/>
    <w:basedOn w:val="Normal"/>
    <w:link w:val="HeaderChar"/>
    <w:uiPriority w:val="99"/>
    <w:rsid w:val="00CB2EC1"/>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CB2EC1"/>
    <w:rPr>
      <w:rFonts w:ascii="Times New Roman" w:eastAsia="SimSun" w:hAnsi="Times New Roman" w:cs="Times New Roman"/>
      <w:sz w:val="24"/>
      <w:szCs w:val="24"/>
    </w:rPr>
  </w:style>
  <w:style w:type="character" w:customStyle="1" w:styleId="ListParagraphChar">
    <w:name w:val="List Paragraph Char"/>
    <w:aliases w:val="Citation List Char,본문(내용) Char,List Paragraph (numbered (a)) Char,List Paragraph1 Char,Resume Title Char,List_Paragraph Char,Multilevel para_II Char,References Char,123 List Paragraph Char,ADB paragraph numbering Char,Liste 1 Char"/>
    <w:basedOn w:val="DefaultParagraphFont"/>
    <w:link w:val="ListParagraph"/>
    <w:uiPriority w:val="34"/>
    <w:qFormat/>
    <w:rsid w:val="002D60B5"/>
  </w:style>
  <w:style w:type="paragraph" w:styleId="Revision">
    <w:name w:val="Revision"/>
    <w:hidden/>
    <w:uiPriority w:val="99"/>
    <w:semiHidden/>
    <w:rsid w:val="002D60B5"/>
    <w:pPr>
      <w:spacing w:after="0" w:line="240" w:lineRule="auto"/>
    </w:pPr>
  </w:style>
  <w:style w:type="character" w:customStyle="1" w:styleId="Heading2Char">
    <w:name w:val="Heading 2 Char"/>
    <w:basedOn w:val="DefaultParagraphFont"/>
    <w:link w:val="Heading2"/>
    <w:uiPriority w:val="9"/>
    <w:rsid w:val="000930E0"/>
    <w:rPr>
      <w:rFonts w:ascii="Cambria" w:eastAsia="Times New Roman" w:hAnsi="Cambria" w:cs="Times New Roman"/>
      <w:b/>
      <w:bCs/>
      <w:i/>
      <w:iCs/>
      <w:sz w:val="28"/>
      <w:szCs w:val="28"/>
    </w:rPr>
  </w:style>
  <w:style w:type="table" w:styleId="GridTable1Light-Accent1">
    <w:name w:val="Grid Table 1 Light Accent 1"/>
    <w:basedOn w:val="TableNormal"/>
    <w:uiPriority w:val="46"/>
    <w:rsid w:val="000930E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DC2C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C4F"/>
    <w:pPr>
      <w:autoSpaceDE w:val="0"/>
      <w:autoSpaceDN w:val="0"/>
      <w:adjustRightInd w:val="0"/>
      <w:spacing w:after="0" w:line="240" w:lineRule="auto"/>
    </w:pPr>
    <w:rPr>
      <w:rFonts w:ascii="Calibri" w:eastAsiaTheme="minorEastAsia" w:hAnsi="Calibri" w:cs="Calibri"/>
      <w:color w:val="000000"/>
      <w:sz w:val="24"/>
      <w:szCs w:val="24"/>
      <w:lang w:val="en-AU" w:bidi="bn-BD"/>
    </w:rPr>
  </w:style>
  <w:style w:type="paragraph" w:styleId="BodyText">
    <w:name w:val="Body Text"/>
    <w:basedOn w:val="Normal"/>
    <w:link w:val="BodyTextChar"/>
    <w:rsid w:val="00CF3A7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F3A7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4A57"/>
    <w:rPr>
      <w:rFonts w:asciiTheme="majorHAnsi" w:eastAsiaTheme="majorEastAsia" w:hAnsiTheme="majorHAnsi" w:cstheme="majorBidi"/>
      <w:color w:val="2E74B5" w:themeColor="accent1" w:themeShade="BF"/>
      <w:sz w:val="32"/>
      <w:szCs w:val="32"/>
    </w:rPr>
  </w:style>
  <w:style w:type="character" w:customStyle="1" w:styleId="cf01">
    <w:name w:val="cf01"/>
    <w:basedOn w:val="DefaultParagraphFont"/>
    <w:rsid w:val="003E62EA"/>
    <w:rPr>
      <w:rFonts w:ascii="Segoe UI" w:hAnsi="Segoe UI" w:cs="Segoe UI" w:hint="default"/>
      <w:sz w:val="18"/>
      <w:szCs w:val="1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1036E6"/>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036E6"/>
    <w:rPr>
      <w:rFonts w:ascii="Times New Roman" w:eastAsia="SimSun" w:hAnsi="Times New Roman" w:cs="Times New Roman"/>
      <w:sz w:val="20"/>
      <w:szCs w:val="20"/>
    </w:rPr>
  </w:style>
  <w:style w:type="character" w:styleId="FootnoteReference">
    <w:name w:val="footnote reference"/>
    <w:aliases w:val="ftref,16 Point,Superscript 6 Point,BVI fnr,Ref,de nota al pie,fr,Used by Word for Help footnote symbols,Footnote Reference1,heading1,Char Char Char Char Car Char,SUPERS,Footnote Reference Number,Знак сноски-FN, BVI fnr"/>
    <w:rsid w:val="001036E6"/>
    <w:rPr>
      <w:vertAlign w:val="superscript"/>
    </w:rPr>
  </w:style>
  <w:style w:type="table" w:customStyle="1" w:styleId="TableGrid1">
    <w:name w:val="Table Grid1"/>
    <w:basedOn w:val="TableNormal"/>
    <w:next w:val="TableGrid"/>
    <w:uiPriority w:val="39"/>
    <w:rsid w:val="004774F4"/>
    <w:pPr>
      <w:spacing w:after="0" w:line="240" w:lineRule="auto"/>
    </w:pPr>
    <w:rPr>
      <w:rFonts w:ascii="Traditional Arabic" w:eastAsia="Calibri" w:hAnsi="Traditional Arab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7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7F9"/>
  </w:style>
  <w:style w:type="character" w:customStyle="1" w:styleId="Heading3Char">
    <w:name w:val="Heading 3 Char"/>
    <w:basedOn w:val="DefaultParagraphFont"/>
    <w:link w:val="Heading3"/>
    <w:uiPriority w:val="9"/>
    <w:semiHidden/>
    <w:rsid w:val="00E40AD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40AD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C47BA"/>
    <w:rPr>
      <w:color w:val="0563C1" w:themeColor="hyperlink"/>
      <w:u w:val="single"/>
    </w:rPr>
  </w:style>
  <w:style w:type="character" w:styleId="UnresolvedMention">
    <w:name w:val="Unresolved Mention"/>
    <w:basedOn w:val="DefaultParagraphFont"/>
    <w:uiPriority w:val="99"/>
    <w:semiHidden/>
    <w:unhideWhenUsed/>
    <w:rsid w:val="006C47BA"/>
    <w:rPr>
      <w:color w:val="605E5C"/>
      <w:shd w:val="clear" w:color="auto" w:fill="E1DFDD"/>
    </w:rPr>
  </w:style>
  <w:style w:type="paragraph" w:styleId="Salutation">
    <w:name w:val="Salutation"/>
    <w:basedOn w:val="Normal"/>
    <w:next w:val="Normal"/>
    <w:link w:val="SalutationChar"/>
    <w:rsid w:val="00CA45B0"/>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CA45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99673">
      <w:bodyDiv w:val="1"/>
      <w:marLeft w:val="0"/>
      <w:marRight w:val="0"/>
      <w:marTop w:val="0"/>
      <w:marBottom w:val="0"/>
      <w:divBdr>
        <w:top w:val="none" w:sz="0" w:space="0" w:color="auto"/>
        <w:left w:val="none" w:sz="0" w:space="0" w:color="auto"/>
        <w:bottom w:val="none" w:sz="0" w:space="0" w:color="auto"/>
        <w:right w:val="none" w:sz="0" w:space="0" w:color="auto"/>
      </w:divBdr>
    </w:div>
    <w:div w:id="17432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cts.worldbank.org/en/projects-operations/document-detail/P508537?type=proje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rldbank.org/en/projects-operations/environmental-and-social-frame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a04f843a-9d9b-4332-a22c-3cb0247ccd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6A66458FDA1B43AF34902F1380FE7A" ma:contentTypeVersion="18" ma:contentTypeDescription="Create a new document." ma:contentTypeScope="" ma:versionID="094d5c9d438a85a95e1a96b28fae5f1f">
  <xsd:schema xmlns:xsd="http://www.w3.org/2001/XMLSchema" xmlns:xs="http://www.w3.org/2001/XMLSchema" xmlns:p="http://schemas.microsoft.com/office/2006/metadata/properties" xmlns:ns2="a04f843a-9d9b-4332-a22c-3cb0247ccd1c" xmlns:ns3="cdd305ec-2f12-4e71-b265-bcef58f41fc8" xmlns:ns4="3e02667f-0271-471b-bd6e-11a2e16def1d" targetNamespace="http://schemas.microsoft.com/office/2006/metadata/properties" ma:root="true" ma:fieldsID="017f0197ace1b9707abb8f863c6dc87e" ns2:_="" ns3:_="" ns4:_="">
    <xsd:import namespace="a04f843a-9d9b-4332-a22c-3cb0247ccd1c"/>
    <xsd:import namespace="cdd305ec-2f12-4e71-b265-bcef58f41fc8"/>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843a-9d9b-4332-a22c-3cb0247c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305ec-2f12-4e71-b265-bcef58f41f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710c27a-8d9d-4800-838d-1eb0878eb7c4}" ma:internalName="TaxCatchAll" ma:showField="CatchAllData" ma:web="cdd305ec-2f12-4e71-b265-bcef58f41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8BF37-DABD-4CBE-907A-6B22EA987B75}">
  <ds:schemaRefs>
    <ds:schemaRef ds:uri="http://schemas.microsoft.com/sharepoint/v3/contenttype/forms"/>
  </ds:schemaRefs>
</ds:datastoreItem>
</file>

<file path=customXml/itemProps2.xml><?xml version="1.0" encoding="utf-8"?>
<ds:datastoreItem xmlns:ds="http://schemas.openxmlformats.org/officeDocument/2006/customXml" ds:itemID="{6BC81F23-0A1C-41BB-AB9D-B0804A13B940}">
  <ds:schemaRefs>
    <ds:schemaRef ds:uri="http://schemas.microsoft.com/office/2006/metadata/properties"/>
    <ds:schemaRef ds:uri="http://schemas.microsoft.com/office/infopath/2007/PartnerControls"/>
    <ds:schemaRef ds:uri="3e02667f-0271-471b-bd6e-11a2e16def1d"/>
    <ds:schemaRef ds:uri="a04f843a-9d9b-4332-a22c-3cb0247ccd1c"/>
  </ds:schemaRefs>
</ds:datastoreItem>
</file>

<file path=customXml/itemProps3.xml><?xml version="1.0" encoding="utf-8"?>
<ds:datastoreItem xmlns:ds="http://schemas.openxmlformats.org/officeDocument/2006/customXml" ds:itemID="{D8CA0B52-988D-42AB-BFA0-383D2C6B069C}">
  <ds:schemaRefs>
    <ds:schemaRef ds:uri="http://schemas.openxmlformats.org/officeDocument/2006/bibliography"/>
  </ds:schemaRefs>
</ds:datastoreItem>
</file>

<file path=customXml/itemProps4.xml><?xml version="1.0" encoding="utf-8"?>
<ds:datastoreItem xmlns:ds="http://schemas.openxmlformats.org/officeDocument/2006/customXml" ds:itemID="{22821A8F-84F3-4AA4-85A8-D33868B6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843a-9d9b-4332-a22c-3cb0247ccd1c"/>
    <ds:schemaRef ds:uri="cdd305ec-2f12-4e71-b265-bcef58f41fc8"/>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2444</Words>
  <Characters>14323</Characters>
  <Application>Microsoft Office Word</Application>
  <DocSecurity>0</DocSecurity>
  <Lines>358</Lines>
  <Paragraphs>188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veatikalomu@gmail.com</dc:creator>
  <cp:keywords/>
  <dc:description/>
  <cp:lastModifiedBy>JR</cp:lastModifiedBy>
  <cp:revision>12</cp:revision>
  <cp:lastPrinted>2024-07-29T21:44:00Z</cp:lastPrinted>
  <dcterms:created xsi:type="dcterms:W3CDTF">2025-10-27T09:16:00Z</dcterms:created>
  <dcterms:modified xsi:type="dcterms:W3CDTF">2025-11-05T23:48:00Z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SIP_Label_89608d83-f952-409d-b7c5-456515bbbf5a_Enabled">
    <vt:lpwstr>true</vt:lpwstr>
  </property>
  <property fmtid="{D5CDD505-2E9C-101B-9397-08002B2CF9AE}" pid="4" name="MSIP_Label_89608d83-f952-409d-b7c5-456515bbbf5a_SetDate">
    <vt:lpwstr>2025-09-15T21:58:18Z</vt:lpwstr>
  </property>
  <property fmtid="{D5CDD505-2E9C-101B-9397-08002B2CF9AE}" pid="5" name="MSIP_Label_89608d83-f952-409d-b7c5-456515bbbf5a_Method">
    <vt:lpwstr>Privileged</vt:lpwstr>
  </property>
  <property fmtid="{D5CDD505-2E9C-101B-9397-08002B2CF9AE}" pid="6" name="MSIP_Label_89608d83-f952-409d-b7c5-456515bbbf5a_Name">
    <vt:lpwstr>Public</vt:lpwstr>
  </property>
  <property fmtid="{D5CDD505-2E9C-101B-9397-08002B2CF9AE}" pid="7" name="MSIP_Label_89608d83-f952-409d-b7c5-456515bbbf5a_SiteId">
    <vt:lpwstr>31a2fec0-266b-4c67-b56e-2796d8f59c36</vt:lpwstr>
  </property>
  <property fmtid="{D5CDD505-2E9C-101B-9397-08002B2CF9AE}" pid="8" name="MSIP_Label_89608d83-f952-409d-b7c5-456515bbbf5a_ActionId">
    <vt:lpwstr>138358df-d010-429e-8405-d9b5e74f3ae4</vt:lpwstr>
  </property>
  <property fmtid="{D5CDD505-2E9C-101B-9397-08002B2CF9AE}" pid="9" name="MSIP_Label_89608d83-f952-409d-b7c5-456515bbbf5a_ContentBits">
    <vt:lpwstr>0</vt:lpwstr>
  </property>
  <property fmtid="{D5CDD505-2E9C-101B-9397-08002B2CF9AE}" pid="10" name="MSIP_Label_89608d83-f952-409d-b7c5-456515bbbf5a_Tag">
    <vt:lpwstr>10, 0, 1, 1</vt:lpwstr>
  </property>
</Properties>
</file>